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39" w:rsidRPr="004047BD" w:rsidRDefault="005C0639" w:rsidP="004047BD">
      <w:pPr>
        <w:ind w:right="283" w:firstLine="1702"/>
        <w:jc w:val="both"/>
        <w:rPr>
          <w:b/>
          <w:sz w:val="28"/>
          <w:szCs w:val="28"/>
          <w:lang w:val="uk-UA"/>
        </w:rPr>
      </w:pPr>
      <w:bookmarkStart w:id="0" w:name="_GoBack"/>
      <w:bookmarkEnd w:id="0"/>
      <w:r w:rsidRPr="004047BD">
        <w:rPr>
          <w:b/>
          <w:sz w:val="28"/>
          <w:szCs w:val="28"/>
          <w:lang w:val="uk-UA"/>
        </w:rPr>
        <w:t xml:space="preserve">ПРИМІТКИ  ДО ФІНАНСОВОЇ ЗВІТНОСТІ ЗА </w:t>
      </w:r>
      <w:r w:rsidR="008501CF">
        <w:rPr>
          <w:b/>
          <w:sz w:val="28"/>
          <w:szCs w:val="28"/>
          <w:lang w:val="uk-UA"/>
        </w:rPr>
        <w:t>2017</w:t>
      </w:r>
      <w:r w:rsidRPr="004047BD">
        <w:rPr>
          <w:b/>
          <w:sz w:val="28"/>
          <w:szCs w:val="28"/>
          <w:lang w:val="uk-UA"/>
        </w:rPr>
        <w:t xml:space="preserve"> РІК</w:t>
      </w:r>
    </w:p>
    <w:p w:rsidR="005C0639" w:rsidRPr="00317B68" w:rsidRDefault="005C0639" w:rsidP="0081512C">
      <w:pPr>
        <w:pStyle w:val="20"/>
        <w:tabs>
          <w:tab w:val="left" w:pos="708"/>
        </w:tabs>
        <w:ind w:firstLine="1702"/>
        <w:jc w:val="center"/>
        <w:rPr>
          <w:rFonts w:cs="Arial"/>
          <w:color w:val="auto"/>
          <w:sz w:val="24"/>
          <w:szCs w:val="24"/>
          <w:lang w:val="uk-UA"/>
        </w:rPr>
      </w:pPr>
      <w:bookmarkStart w:id="1" w:name="OLE_LINK1"/>
      <w:bookmarkStart w:id="2" w:name="OLE_LINK2"/>
      <w:bookmarkStart w:id="3" w:name="OLE_LINK3"/>
      <w:r w:rsidRPr="00317B68">
        <w:rPr>
          <w:rFonts w:ascii="Times New Roman" w:hAnsi="Times New Roman"/>
          <w:color w:val="auto"/>
          <w:sz w:val="24"/>
          <w:szCs w:val="24"/>
        </w:rPr>
        <w:t>ПОВН</w:t>
      </w:r>
      <w:r w:rsidRPr="00317B68">
        <w:rPr>
          <w:rFonts w:ascii="Times New Roman" w:hAnsi="Times New Roman"/>
          <w:color w:val="auto"/>
          <w:sz w:val="24"/>
          <w:szCs w:val="24"/>
          <w:lang w:val="uk-UA"/>
        </w:rPr>
        <w:t>ОГО</w:t>
      </w:r>
      <w:r w:rsidRPr="00317B68">
        <w:rPr>
          <w:rFonts w:ascii="Times New Roman" w:hAnsi="Times New Roman"/>
          <w:color w:val="auto"/>
          <w:sz w:val="24"/>
          <w:szCs w:val="24"/>
        </w:rPr>
        <w:t xml:space="preserve"> ТОВАРИСТВ</w:t>
      </w:r>
      <w:r w:rsidRPr="00317B68">
        <w:rPr>
          <w:rFonts w:ascii="Times New Roman" w:hAnsi="Times New Roman"/>
          <w:color w:val="auto"/>
          <w:sz w:val="24"/>
          <w:szCs w:val="24"/>
          <w:lang w:val="uk-UA"/>
        </w:rPr>
        <w:t>А</w:t>
      </w:r>
      <w:r w:rsidRPr="00317B68">
        <w:rPr>
          <w:rFonts w:ascii="Times New Roman" w:hAnsi="Times New Roman"/>
          <w:color w:val="auto"/>
          <w:sz w:val="24"/>
          <w:szCs w:val="24"/>
        </w:rPr>
        <w:t xml:space="preserve"> </w:t>
      </w:r>
      <w:bookmarkStart w:id="4" w:name="OLE_LINK4"/>
      <w:bookmarkStart w:id="5" w:name="OLE_LINK5"/>
      <w:bookmarkStart w:id="6" w:name="OLE_LINK6"/>
      <w:r w:rsidRPr="00317B68">
        <w:rPr>
          <w:rFonts w:ascii="Times New Roman" w:hAnsi="Times New Roman"/>
          <w:color w:val="auto"/>
          <w:sz w:val="24"/>
          <w:szCs w:val="24"/>
        </w:rPr>
        <w:t xml:space="preserve">« ЛОМБАРД» ОНІКС ПЛЮС» </w:t>
      </w:r>
      <w:r w:rsidR="00D409D2">
        <w:rPr>
          <w:rFonts w:ascii="Times New Roman" w:hAnsi="Times New Roman"/>
          <w:color w:val="auto"/>
          <w:sz w:val="24"/>
          <w:szCs w:val="24"/>
        </w:rPr>
        <w:t>ЧЕРНИК</w:t>
      </w:r>
      <w:r w:rsidRPr="00317B68">
        <w:rPr>
          <w:rFonts w:ascii="Times New Roman" w:hAnsi="Times New Roman"/>
          <w:color w:val="auto"/>
          <w:sz w:val="24"/>
          <w:szCs w:val="24"/>
        </w:rPr>
        <w:t xml:space="preserve"> І КОМПАНІЯ»</w:t>
      </w:r>
    </w:p>
    <w:bookmarkEnd w:id="4"/>
    <w:bookmarkEnd w:id="5"/>
    <w:bookmarkEnd w:id="6"/>
    <w:p w:rsidR="005C0639" w:rsidRDefault="005C0639" w:rsidP="004047BD">
      <w:pPr>
        <w:ind w:firstLine="1702"/>
        <w:jc w:val="both"/>
        <w:rPr>
          <w:b/>
          <w:sz w:val="22"/>
          <w:szCs w:val="22"/>
          <w:lang w:val="uk-UA"/>
        </w:rPr>
      </w:pPr>
    </w:p>
    <w:bookmarkEnd w:id="1"/>
    <w:bookmarkEnd w:id="2"/>
    <w:bookmarkEnd w:id="3"/>
    <w:p w:rsidR="005C0639" w:rsidRDefault="005C0639" w:rsidP="004047BD">
      <w:pPr>
        <w:ind w:firstLine="1702"/>
        <w:jc w:val="both"/>
        <w:rPr>
          <w:b/>
          <w:sz w:val="22"/>
          <w:szCs w:val="22"/>
          <w:lang w:val="uk-UA"/>
        </w:rPr>
      </w:pPr>
      <w:r>
        <w:rPr>
          <w:b/>
          <w:sz w:val="22"/>
          <w:szCs w:val="22"/>
          <w:lang w:val="uk-UA"/>
        </w:rPr>
        <w:t>1. ЗАГАЛЬНІ ПОЛОЖЕННЯ</w:t>
      </w:r>
    </w:p>
    <w:p w:rsidR="005C0639" w:rsidRDefault="005C0639" w:rsidP="004047BD">
      <w:pPr>
        <w:ind w:firstLine="1702"/>
        <w:jc w:val="both"/>
        <w:rPr>
          <w:b/>
          <w:sz w:val="22"/>
          <w:szCs w:val="22"/>
          <w:lang w:val="uk-UA"/>
        </w:rPr>
      </w:pPr>
    </w:p>
    <w:p w:rsidR="005C0639" w:rsidRDefault="005C0639" w:rsidP="004047BD">
      <w:pPr>
        <w:pStyle w:val="20"/>
        <w:keepLines w:val="0"/>
        <w:numPr>
          <w:ilvl w:val="0"/>
          <w:numId w:val="1"/>
        </w:numPr>
        <w:spacing w:before="240"/>
        <w:ind w:left="0" w:firstLine="1702"/>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rPr>
        <w:t xml:space="preserve">Повна назва: ПОВНЕ ТОВАРИСТВО « ЛОМБАРД» ОНІКС ПЛЮС» </w:t>
      </w:r>
      <w:r w:rsidR="00D409D2">
        <w:rPr>
          <w:rFonts w:ascii="Times New Roman" w:hAnsi="Times New Roman" w:cs="Times New Roman"/>
          <w:b w:val="0"/>
          <w:color w:val="auto"/>
          <w:sz w:val="24"/>
          <w:szCs w:val="24"/>
        </w:rPr>
        <w:t>ЧЕРНИК</w:t>
      </w:r>
      <w:r>
        <w:rPr>
          <w:rFonts w:ascii="Times New Roman" w:hAnsi="Times New Roman" w:cs="Times New Roman"/>
          <w:b w:val="0"/>
          <w:color w:val="auto"/>
          <w:sz w:val="24"/>
          <w:szCs w:val="24"/>
        </w:rPr>
        <w:t xml:space="preserve"> І КОМПАНІЯ» </w:t>
      </w:r>
      <w:r>
        <w:rPr>
          <w:rFonts w:ascii="Times New Roman" w:hAnsi="Times New Roman" w:cs="Times New Roman"/>
          <w:b w:val="0"/>
          <w:color w:val="auto"/>
          <w:sz w:val="24"/>
          <w:szCs w:val="24"/>
          <w:lang w:val="uk-UA"/>
        </w:rPr>
        <w:t>(надалі по тексту - «Установа»)</w:t>
      </w:r>
    </w:p>
    <w:p w:rsidR="005C0639" w:rsidRDefault="005C0639" w:rsidP="004047BD">
      <w:pPr>
        <w:pStyle w:val="20"/>
        <w:keepLines w:val="0"/>
        <w:spacing w:before="240"/>
        <w:ind w:firstLine="1702"/>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к</w:t>
      </w:r>
      <w:r>
        <w:rPr>
          <w:rFonts w:ascii="Times New Roman" w:hAnsi="Times New Roman" w:cs="Times New Roman"/>
          <w:b w:val="0"/>
          <w:color w:val="auto"/>
          <w:sz w:val="24"/>
          <w:szCs w:val="24"/>
        </w:rPr>
        <w:t xml:space="preserve">од за ЄДРПОУ: </w:t>
      </w:r>
      <w:bookmarkStart w:id="7" w:name="OLE_LINK12"/>
      <w:bookmarkStart w:id="8" w:name="OLE_LINK13"/>
      <w:bookmarkStart w:id="9" w:name="OLE_LINK14"/>
      <w:r>
        <w:rPr>
          <w:rFonts w:ascii="Times New Roman" w:hAnsi="Times New Roman" w:cs="Times New Roman"/>
          <w:b w:val="0"/>
          <w:color w:val="auto"/>
          <w:sz w:val="24"/>
          <w:szCs w:val="24"/>
          <w:lang w:val="uk-UA"/>
        </w:rPr>
        <w:t>25516992</w:t>
      </w:r>
      <w:bookmarkEnd w:id="7"/>
      <w:bookmarkEnd w:id="8"/>
      <w:bookmarkEnd w:id="9"/>
      <w:r>
        <w:rPr>
          <w:rFonts w:ascii="Times New Roman" w:hAnsi="Times New Roman" w:cs="Times New Roman"/>
          <w:b w:val="0"/>
          <w:color w:val="auto"/>
          <w:sz w:val="24"/>
          <w:szCs w:val="24"/>
        </w:rPr>
        <w:t>.</w:t>
      </w:r>
    </w:p>
    <w:p w:rsidR="005C0639" w:rsidRDefault="005C0639" w:rsidP="004047BD">
      <w:pPr>
        <w:ind w:firstLine="1702"/>
        <w:jc w:val="both"/>
        <w:rPr>
          <w:lang w:val="uk-UA"/>
        </w:rPr>
      </w:pPr>
    </w:p>
    <w:p w:rsidR="005C0639" w:rsidRDefault="005C0639" w:rsidP="004047BD">
      <w:pPr>
        <w:ind w:firstLine="1702"/>
        <w:jc w:val="both"/>
        <w:outlineLvl w:val="0"/>
        <w:rPr>
          <w:lang w:val="uk-UA"/>
        </w:rPr>
      </w:pPr>
      <w:r>
        <w:rPr>
          <w:lang w:val="uk-UA"/>
        </w:rPr>
        <w:t xml:space="preserve">Місцезнаходження: </w:t>
      </w:r>
      <w:bookmarkStart w:id="10" w:name="OLE_LINK15"/>
      <w:bookmarkStart w:id="11" w:name="OLE_LINK16"/>
      <w:bookmarkStart w:id="12" w:name="OLE_LINK17"/>
      <w:r w:rsidR="00873003">
        <w:rPr>
          <w:lang w:val="uk-UA"/>
        </w:rPr>
        <w:t>49066,  м. Дніпро</w:t>
      </w:r>
      <w:r>
        <w:rPr>
          <w:lang w:val="uk-UA"/>
        </w:rPr>
        <w:t>, вул. Байкальська, б.81- А</w:t>
      </w:r>
    </w:p>
    <w:p w:rsidR="005C0639" w:rsidRDefault="005C0639" w:rsidP="004047BD">
      <w:pPr>
        <w:pStyle w:val="FR4"/>
        <w:spacing w:line="240" w:lineRule="auto"/>
        <w:ind w:firstLine="1702"/>
        <w:rPr>
          <w:rFonts w:ascii="Times New Roman" w:hAnsi="Times New Roman"/>
          <w:szCs w:val="24"/>
          <w:lang w:val="ru-RU"/>
        </w:rPr>
      </w:pPr>
    </w:p>
    <w:p w:rsidR="005C0639" w:rsidRDefault="00EF4D9A" w:rsidP="004047BD">
      <w:pPr>
        <w:pStyle w:val="FR4"/>
        <w:spacing w:line="240" w:lineRule="auto"/>
        <w:ind w:firstLine="1702"/>
        <w:rPr>
          <w:rFonts w:ascii="Times New Roman" w:hAnsi="Times New Roman"/>
        </w:rPr>
      </w:pPr>
      <w:bookmarkStart w:id="13" w:name="OLE_LINK9"/>
      <w:bookmarkStart w:id="14" w:name="OLE_LINK10"/>
      <w:bookmarkStart w:id="15" w:name="OLE_LINK11"/>
      <w:bookmarkEnd w:id="10"/>
      <w:bookmarkEnd w:id="11"/>
      <w:bookmarkEnd w:id="12"/>
      <w:r>
        <w:rPr>
          <w:rFonts w:ascii="Times New Roman" w:hAnsi="Times New Roman"/>
          <w:szCs w:val="24"/>
        </w:rPr>
        <w:t xml:space="preserve">ПОВНЕ ТОВАРИСТВО «ЛОМБАРД» ОНІКС ПЛЮС» </w:t>
      </w:r>
      <w:r w:rsidR="00D409D2">
        <w:rPr>
          <w:rFonts w:ascii="Times New Roman" w:hAnsi="Times New Roman"/>
          <w:szCs w:val="24"/>
        </w:rPr>
        <w:t>ЧЕРНИК</w:t>
      </w:r>
      <w:r w:rsidR="005C0639">
        <w:rPr>
          <w:rFonts w:ascii="Times New Roman" w:hAnsi="Times New Roman"/>
          <w:szCs w:val="24"/>
        </w:rPr>
        <w:t xml:space="preserve"> І КОМПАНІЯ» </w:t>
      </w:r>
      <w:bookmarkStart w:id="16" w:name="OLE_LINK18"/>
      <w:bookmarkStart w:id="17" w:name="OLE_LINK19"/>
      <w:bookmarkStart w:id="18" w:name="OLE_LINK20"/>
      <w:bookmarkEnd w:id="13"/>
      <w:bookmarkEnd w:id="14"/>
      <w:bookmarkEnd w:id="15"/>
      <w:r w:rsidR="005C0639">
        <w:rPr>
          <w:rFonts w:ascii="Times New Roman" w:hAnsi="Times New Roman"/>
        </w:rPr>
        <w:t xml:space="preserve">зареєстроване Виконавчим комітетом Дніпропетровської міської Ради. Дата проведення реєстрації  - </w:t>
      </w:r>
      <w:bookmarkStart w:id="19" w:name="OLE_LINK21"/>
      <w:bookmarkStart w:id="20" w:name="OLE_LINK22"/>
      <w:bookmarkStart w:id="21" w:name="OLE_LINK23"/>
      <w:r w:rsidR="005C0639">
        <w:rPr>
          <w:rFonts w:ascii="Times New Roman" w:hAnsi="Times New Roman"/>
        </w:rPr>
        <w:t>24.02.1998р., Свідоцтво про державну реєстрацію юридичної особи серія А01 за № 047695 .</w:t>
      </w:r>
    </w:p>
    <w:bookmarkEnd w:id="16"/>
    <w:bookmarkEnd w:id="17"/>
    <w:bookmarkEnd w:id="18"/>
    <w:bookmarkEnd w:id="19"/>
    <w:bookmarkEnd w:id="20"/>
    <w:bookmarkEnd w:id="21"/>
    <w:p w:rsidR="005C0639" w:rsidRDefault="005C0639" w:rsidP="004047BD">
      <w:pPr>
        <w:pStyle w:val="FR4"/>
        <w:spacing w:line="240" w:lineRule="auto"/>
        <w:ind w:firstLine="1702"/>
        <w:rPr>
          <w:rFonts w:ascii="Times New Roman" w:hAnsi="Times New Roman"/>
          <w:szCs w:val="24"/>
        </w:rPr>
      </w:pPr>
      <w:r>
        <w:rPr>
          <w:rFonts w:ascii="Times New Roman" w:hAnsi="Times New Roman"/>
        </w:rPr>
        <w:t>Дата заміни свідоцтва про державну реєстрацію – 23.04.20</w:t>
      </w:r>
      <w:r>
        <w:rPr>
          <w:rFonts w:ascii="Times New Roman" w:hAnsi="Times New Roman"/>
          <w:lang w:val="ru-RU"/>
        </w:rPr>
        <w:t>09</w:t>
      </w:r>
      <w:r>
        <w:rPr>
          <w:rFonts w:ascii="Times New Roman" w:hAnsi="Times New Roman"/>
        </w:rPr>
        <w:t>р.</w:t>
      </w:r>
    </w:p>
    <w:p w:rsidR="005C0639" w:rsidRDefault="005C0639" w:rsidP="004047BD">
      <w:pPr>
        <w:pStyle w:val="FR4"/>
        <w:spacing w:line="240" w:lineRule="auto"/>
        <w:ind w:firstLine="1702"/>
        <w:rPr>
          <w:rFonts w:ascii="Times New Roman" w:hAnsi="Times New Roman"/>
          <w:szCs w:val="24"/>
        </w:rPr>
      </w:pPr>
      <w:r>
        <w:rPr>
          <w:rFonts w:ascii="Times New Roman" w:hAnsi="Times New Roman"/>
          <w:szCs w:val="24"/>
        </w:rPr>
        <w:t>Зміни до засновницького договору №1 зареєстровані від 26.11.1998р. виконкомом Кіровської районної Ради м. Дніпропетровськ, реєстраційна справа №04052471Ю0010228.</w:t>
      </w:r>
    </w:p>
    <w:p w:rsidR="005C0639" w:rsidRDefault="005C0639" w:rsidP="004047BD">
      <w:pPr>
        <w:shd w:val="clear" w:color="auto" w:fill="FFFFFF"/>
        <w:ind w:firstLine="1702"/>
        <w:jc w:val="both"/>
      </w:pPr>
      <w:r>
        <w:t>Зміни до засновницького договору №</w:t>
      </w:r>
      <w:r w:rsidR="00EF4D9A">
        <w:rPr>
          <w:lang w:val="uk-UA"/>
        </w:rPr>
        <w:t xml:space="preserve"> </w:t>
      </w:r>
      <w:r>
        <w:t xml:space="preserve">2 зареєстровані виконкомом Кіровської районної Ради м. Дніпропетровськ 01.04.03р., реєстраційна справа №04052471Ю0010228. </w:t>
      </w:r>
    </w:p>
    <w:p w:rsidR="005C0639" w:rsidRDefault="0081512C" w:rsidP="0081512C">
      <w:pPr>
        <w:jc w:val="both"/>
      </w:pPr>
      <w:r>
        <w:rPr>
          <w:lang w:val="uk-UA"/>
        </w:rPr>
        <w:t xml:space="preserve">                           </w:t>
      </w:r>
      <w:r w:rsidR="005C0639">
        <w:t xml:space="preserve"> Виконавчим комітетом Дніпропетровської міської ради 14.04.2006р. проведені зміни №3 засновницького договору по найменуванню: Повне товариство «Ломбард «Онікс плюс» Черник і Компанія».</w:t>
      </w:r>
    </w:p>
    <w:p w:rsidR="00634CFF" w:rsidRDefault="005C0639" w:rsidP="004047BD">
      <w:pPr>
        <w:ind w:firstLine="1702"/>
        <w:jc w:val="both"/>
      </w:pPr>
      <w:r>
        <w:t xml:space="preserve"> Основні види діяльності: </w:t>
      </w:r>
      <w:r w:rsidR="00634CFF" w:rsidRPr="00634CFF">
        <w:t>Код КВЕД 64.92 Інші види кредитування</w:t>
      </w:r>
    </w:p>
    <w:p w:rsidR="005C0639" w:rsidRPr="00262399" w:rsidRDefault="0081512C" w:rsidP="004047BD">
      <w:pPr>
        <w:ind w:firstLine="1702"/>
        <w:jc w:val="both"/>
        <w:rPr>
          <w:lang w:val="uk-UA"/>
        </w:rPr>
      </w:pPr>
      <w:r>
        <w:t>Чисельність працівників: 1</w:t>
      </w:r>
      <w:r>
        <w:rPr>
          <w:lang w:val="uk-UA"/>
        </w:rPr>
        <w:t>1</w:t>
      </w:r>
      <w:r w:rsidR="00262399">
        <w:t xml:space="preserve"> ос</w:t>
      </w:r>
      <w:r w:rsidR="00262399">
        <w:rPr>
          <w:lang w:val="uk-UA"/>
        </w:rPr>
        <w:t>іб.</w:t>
      </w:r>
    </w:p>
    <w:p w:rsidR="005C0639" w:rsidRDefault="005C0639" w:rsidP="004047BD">
      <w:pPr>
        <w:shd w:val="clear" w:color="auto" w:fill="FFFFFF"/>
        <w:ind w:firstLine="1702"/>
        <w:jc w:val="both"/>
      </w:pPr>
      <w:r>
        <w:rPr>
          <w:shd w:val="clear" w:color="auto" w:fill="FFFFFF"/>
        </w:rPr>
        <w:t>Банківські реквізити: п /р - 26001205125 в АТ «Райффайзен Банк Аваль», МФО 380805.</w:t>
      </w:r>
    </w:p>
    <w:p w:rsidR="005C0639" w:rsidRPr="00781887" w:rsidRDefault="005C0639" w:rsidP="004047BD">
      <w:pPr>
        <w:pStyle w:val="af4"/>
        <w:ind w:firstLine="1702"/>
        <w:jc w:val="both"/>
        <w:rPr>
          <w:rFonts w:ascii="Times New Roman" w:hAnsi="Times New Roman" w:cs="Times New Roman"/>
          <w:szCs w:val="24"/>
          <w:lang w:val="uk-UA"/>
        </w:rPr>
      </w:pPr>
      <w:r w:rsidRPr="00781887">
        <w:rPr>
          <w:rFonts w:ascii="Times New Roman" w:hAnsi="Times New Roman" w:cs="Times New Roman"/>
          <w:szCs w:val="24"/>
          <w:lang w:val="uk-UA"/>
        </w:rPr>
        <w:t xml:space="preserve">         Свідоцтво про реєстрацію фінансової установи видане Державною комісією з регулювання ринків фінансових послуг України, реєстраційний номер 15101402 , серія і номер: ЛД № 258 від 30.12.2004 р., номер рішення про видачу свідоцтва 3231 від 30.12.2004 р.</w:t>
      </w:r>
    </w:p>
    <w:p w:rsidR="005C0639" w:rsidRPr="00781887" w:rsidRDefault="005C0639" w:rsidP="004047BD">
      <w:pPr>
        <w:pStyle w:val="FR4"/>
        <w:spacing w:line="240" w:lineRule="auto"/>
        <w:ind w:firstLine="1702"/>
        <w:rPr>
          <w:rFonts w:ascii="Times New Roman" w:hAnsi="Times New Roman"/>
          <w:szCs w:val="24"/>
        </w:rPr>
      </w:pPr>
      <w:r w:rsidRPr="00781887">
        <w:rPr>
          <w:rFonts w:ascii="Times New Roman" w:hAnsi="Times New Roman"/>
          <w:szCs w:val="24"/>
        </w:rPr>
        <w:t>До складу Повного товариства «Ломбард «Онікс Плюс» Черник і Компанія» крім основної адреси, де надаються послуг</w:t>
      </w:r>
      <w:r w:rsidR="004D6D85">
        <w:rPr>
          <w:rFonts w:ascii="Times New Roman" w:hAnsi="Times New Roman"/>
          <w:szCs w:val="24"/>
        </w:rPr>
        <w:t>и ломбарду  у м. Дніпро</w:t>
      </w:r>
      <w:r w:rsidRPr="00781887">
        <w:rPr>
          <w:rFonts w:ascii="Times New Roman" w:hAnsi="Times New Roman"/>
          <w:szCs w:val="24"/>
        </w:rPr>
        <w:t xml:space="preserve">, вул.. Байкальська, буд.81-.А,  входять такі відокремлені підрозділи, філії: </w:t>
      </w:r>
    </w:p>
    <w:p w:rsidR="00FE287B" w:rsidRPr="00781887" w:rsidRDefault="00FE287B" w:rsidP="004047BD">
      <w:pPr>
        <w:pStyle w:val="FR4"/>
        <w:spacing w:line="240" w:lineRule="auto"/>
        <w:ind w:firstLine="1702"/>
        <w:rPr>
          <w:rFonts w:ascii="Times New Roman" w:hAnsi="Times New Roman"/>
          <w:szCs w:val="24"/>
        </w:rPr>
      </w:pPr>
    </w:p>
    <w:p w:rsidR="00FE287B" w:rsidRPr="00781887" w:rsidRDefault="00233AFE" w:rsidP="004047BD">
      <w:pPr>
        <w:pStyle w:val="FR4"/>
        <w:ind w:right="-1" w:firstLine="1702"/>
        <w:rPr>
          <w:rFonts w:ascii="Times New Roman" w:hAnsi="Times New Roman"/>
          <w:szCs w:val="24"/>
        </w:rPr>
      </w:pPr>
      <w:r w:rsidRPr="00781887">
        <w:rPr>
          <w:rFonts w:ascii="Times New Roman" w:hAnsi="Times New Roman"/>
          <w:szCs w:val="24"/>
        </w:rPr>
        <w:t xml:space="preserve">- </w:t>
      </w:r>
      <w:r w:rsidR="00FE287B" w:rsidRPr="00781887">
        <w:rPr>
          <w:rFonts w:ascii="Times New Roman" w:hAnsi="Times New Roman"/>
          <w:szCs w:val="24"/>
        </w:rPr>
        <w:t>ВІДДІЛЕННЯ № 4 НА КОМУНАРІВСЬКІЙ ПТ "ЛОМБАРД "ОНІКС ПЛЮС" ЧЕРНИК І К</w:t>
      </w:r>
    </w:p>
    <w:p w:rsidR="00FE287B" w:rsidRPr="00781887" w:rsidRDefault="00FE287B" w:rsidP="004047BD">
      <w:pPr>
        <w:pStyle w:val="FR4"/>
        <w:ind w:firstLine="1702"/>
        <w:rPr>
          <w:rFonts w:ascii="Times New Roman" w:hAnsi="Times New Roman"/>
          <w:szCs w:val="24"/>
        </w:rPr>
      </w:pPr>
      <w:r w:rsidRPr="00781887">
        <w:rPr>
          <w:rFonts w:ascii="Times New Roman" w:hAnsi="Times New Roman"/>
          <w:szCs w:val="24"/>
        </w:rPr>
        <w:t>Код ЄДРПОУ ВП: 40698587</w:t>
      </w:r>
    </w:p>
    <w:p w:rsidR="00FE287B" w:rsidRPr="00781887" w:rsidRDefault="00FE287B" w:rsidP="004047BD">
      <w:pPr>
        <w:pStyle w:val="FR4"/>
        <w:spacing w:line="240" w:lineRule="auto"/>
        <w:ind w:firstLine="1702"/>
        <w:rPr>
          <w:rFonts w:ascii="Times New Roman" w:hAnsi="Times New Roman"/>
          <w:szCs w:val="24"/>
        </w:rPr>
      </w:pPr>
      <w:r w:rsidRPr="00781887">
        <w:rPr>
          <w:rFonts w:ascii="Times New Roman" w:hAnsi="Times New Roman"/>
          <w:szCs w:val="24"/>
        </w:rPr>
        <w:t>Місцезнаходження ВП: 49000, Дніпропетровська обл., місто Дніпро, Ленінський район, ВУЛИЦЯ КОМУНАРІВСЬКА, будинок 11Б</w:t>
      </w:r>
    </w:p>
    <w:p w:rsidR="00136190" w:rsidRPr="00781887" w:rsidRDefault="00136190" w:rsidP="004047BD">
      <w:pPr>
        <w:pStyle w:val="FR4"/>
        <w:ind w:firstLine="1702"/>
        <w:rPr>
          <w:rFonts w:ascii="Times New Roman" w:hAnsi="Times New Roman"/>
          <w:szCs w:val="24"/>
        </w:rPr>
      </w:pPr>
    </w:p>
    <w:p w:rsidR="00FE287B" w:rsidRPr="00781887" w:rsidRDefault="00233AFE" w:rsidP="004047BD">
      <w:pPr>
        <w:pStyle w:val="FR4"/>
        <w:ind w:firstLine="1702"/>
        <w:rPr>
          <w:rFonts w:ascii="Times New Roman" w:hAnsi="Times New Roman"/>
          <w:szCs w:val="24"/>
          <w:lang w:val="ru-RU"/>
        </w:rPr>
      </w:pPr>
      <w:r w:rsidRPr="00781887">
        <w:rPr>
          <w:rFonts w:ascii="Times New Roman" w:hAnsi="Times New Roman"/>
          <w:szCs w:val="24"/>
          <w:lang w:val="ru-RU"/>
        </w:rPr>
        <w:t xml:space="preserve">- </w:t>
      </w:r>
      <w:r w:rsidR="00FE287B" w:rsidRPr="00781887">
        <w:rPr>
          <w:rFonts w:ascii="Times New Roman" w:hAnsi="Times New Roman"/>
          <w:szCs w:val="24"/>
          <w:lang w:val="ru-RU"/>
        </w:rPr>
        <w:t>ВІДДІЛЕННЯ № 2 НА БІЛОСТОЦЬКОГО ПТ "ЛОМБАРД "ОНІКС ПЛЮС" ЧЕРНИК І К</w:t>
      </w:r>
    </w:p>
    <w:p w:rsidR="00FE287B" w:rsidRPr="00781887" w:rsidRDefault="00FE287B" w:rsidP="004047BD">
      <w:pPr>
        <w:pStyle w:val="FR4"/>
        <w:ind w:firstLine="1702"/>
        <w:rPr>
          <w:rFonts w:ascii="Times New Roman" w:hAnsi="Times New Roman"/>
          <w:szCs w:val="24"/>
          <w:lang w:val="ru-RU"/>
        </w:rPr>
      </w:pPr>
      <w:r w:rsidRPr="00781887">
        <w:rPr>
          <w:rFonts w:ascii="Times New Roman" w:hAnsi="Times New Roman"/>
          <w:szCs w:val="24"/>
          <w:lang w:val="ru-RU"/>
        </w:rPr>
        <w:t>Код ЄДРПОУ ВП: 40698592</w:t>
      </w:r>
    </w:p>
    <w:p w:rsidR="00FE287B" w:rsidRPr="00781887" w:rsidRDefault="00FE287B" w:rsidP="004047BD">
      <w:pPr>
        <w:pStyle w:val="FR4"/>
        <w:spacing w:line="240" w:lineRule="auto"/>
        <w:ind w:firstLine="1702"/>
        <w:rPr>
          <w:rFonts w:ascii="Times New Roman" w:hAnsi="Times New Roman"/>
          <w:szCs w:val="24"/>
          <w:lang w:val="ru-RU"/>
        </w:rPr>
      </w:pPr>
      <w:r w:rsidRPr="00781887">
        <w:rPr>
          <w:rFonts w:ascii="Times New Roman" w:hAnsi="Times New Roman"/>
          <w:szCs w:val="24"/>
          <w:lang w:val="ru-RU"/>
        </w:rPr>
        <w:t>Місцезнаходження ВП: 49000, Дніпропетровська обл., місто Дніпро, Амур-Нижньодніпровський район, ВУЛИЦЯ БІЛОСТОЦЬКОГО, будинок 2А</w:t>
      </w:r>
    </w:p>
    <w:p w:rsidR="00FE287B" w:rsidRPr="00781887" w:rsidRDefault="00FE287B" w:rsidP="004047BD">
      <w:pPr>
        <w:pStyle w:val="FR4"/>
        <w:spacing w:line="240" w:lineRule="auto"/>
        <w:ind w:firstLine="1702"/>
        <w:rPr>
          <w:rFonts w:ascii="Times New Roman" w:hAnsi="Times New Roman"/>
          <w:szCs w:val="24"/>
          <w:lang w:val="ru-RU"/>
        </w:rPr>
      </w:pPr>
    </w:p>
    <w:p w:rsidR="00FE287B" w:rsidRPr="00781887" w:rsidRDefault="00233AFE" w:rsidP="004047BD">
      <w:pPr>
        <w:pStyle w:val="FR4"/>
        <w:ind w:firstLine="1702"/>
        <w:rPr>
          <w:rFonts w:ascii="Times New Roman" w:hAnsi="Times New Roman"/>
          <w:szCs w:val="24"/>
          <w:lang w:val="ru-RU"/>
        </w:rPr>
      </w:pPr>
      <w:r w:rsidRPr="00781887">
        <w:rPr>
          <w:rFonts w:ascii="Times New Roman" w:hAnsi="Times New Roman"/>
          <w:szCs w:val="24"/>
          <w:lang w:val="ru-RU"/>
        </w:rPr>
        <w:t xml:space="preserve">- </w:t>
      </w:r>
      <w:r w:rsidR="00FE287B" w:rsidRPr="00781887">
        <w:rPr>
          <w:rFonts w:ascii="Times New Roman" w:hAnsi="Times New Roman"/>
          <w:szCs w:val="24"/>
          <w:lang w:val="ru-RU"/>
        </w:rPr>
        <w:t>ВІДДІЛЕННЯ № 3 НА ТІТОВА ПТ "ЛОМБАРД "ОНІКС ПЛЮС" ЧЕРНИК І К</w:t>
      </w:r>
    </w:p>
    <w:p w:rsidR="00FE287B" w:rsidRPr="00781887" w:rsidRDefault="00FE287B" w:rsidP="004047BD">
      <w:pPr>
        <w:pStyle w:val="FR4"/>
        <w:ind w:firstLine="1702"/>
        <w:rPr>
          <w:rFonts w:ascii="Times New Roman" w:hAnsi="Times New Roman"/>
          <w:szCs w:val="24"/>
          <w:lang w:val="ru-RU"/>
        </w:rPr>
      </w:pPr>
      <w:r w:rsidRPr="00781887">
        <w:rPr>
          <w:rFonts w:ascii="Times New Roman" w:hAnsi="Times New Roman"/>
          <w:szCs w:val="24"/>
          <w:lang w:val="ru-RU"/>
        </w:rPr>
        <w:t>Код ЄДРПОУ ВП: 40698608</w:t>
      </w:r>
    </w:p>
    <w:p w:rsidR="00FE287B" w:rsidRPr="00781887" w:rsidRDefault="00FE287B" w:rsidP="004047BD">
      <w:pPr>
        <w:pStyle w:val="FR4"/>
        <w:spacing w:line="240" w:lineRule="auto"/>
        <w:ind w:firstLine="1702"/>
        <w:rPr>
          <w:rFonts w:ascii="Times New Roman" w:hAnsi="Times New Roman"/>
          <w:szCs w:val="24"/>
          <w:lang w:val="ru-RU"/>
        </w:rPr>
      </w:pPr>
      <w:r w:rsidRPr="00781887">
        <w:rPr>
          <w:rFonts w:ascii="Times New Roman" w:hAnsi="Times New Roman"/>
          <w:szCs w:val="24"/>
          <w:lang w:val="ru-RU"/>
        </w:rPr>
        <w:t xml:space="preserve">Місцезнаходження ВП: 49000, Дніпропетровська обл., місто Дніпро, </w:t>
      </w:r>
      <w:r w:rsidRPr="00781887">
        <w:rPr>
          <w:rFonts w:ascii="Times New Roman" w:hAnsi="Times New Roman"/>
          <w:szCs w:val="24"/>
          <w:lang w:val="ru-RU"/>
        </w:rPr>
        <w:lastRenderedPageBreak/>
        <w:t>Красногвардійський район, ВУЛИЦЯ ТІТОВА, будинок 13А</w:t>
      </w:r>
    </w:p>
    <w:p w:rsidR="00C775E9" w:rsidRPr="00781887" w:rsidRDefault="00C775E9" w:rsidP="004047BD">
      <w:pPr>
        <w:pStyle w:val="FR4"/>
        <w:spacing w:line="240" w:lineRule="auto"/>
        <w:ind w:firstLine="1702"/>
        <w:rPr>
          <w:rFonts w:ascii="Times New Roman" w:hAnsi="Times New Roman"/>
          <w:szCs w:val="24"/>
          <w:lang w:val="ru-RU"/>
        </w:rPr>
      </w:pPr>
    </w:p>
    <w:p w:rsidR="00C775E9" w:rsidRPr="00781887" w:rsidRDefault="00233AFE" w:rsidP="004047BD">
      <w:pPr>
        <w:pStyle w:val="FR4"/>
        <w:ind w:firstLine="1702"/>
        <w:rPr>
          <w:rFonts w:ascii="Times New Roman" w:hAnsi="Times New Roman"/>
          <w:szCs w:val="24"/>
          <w:lang w:val="ru-RU"/>
        </w:rPr>
      </w:pPr>
      <w:r w:rsidRPr="00781887">
        <w:rPr>
          <w:rFonts w:ascii="Times New Roman" w:hAnsi="Times New Roman"/>
          <w:szCs w:val="24"/>
          <w:lang w:val="ru-RU"/>
        </w:rPr>
        <w:t xml:space="preserve">- </w:t>
      </w:r>
      <w:r w:rsidR="00C775E9" w:rsidRPr="00781887">
        <w:rPr>
          <w:rFonts w:ascii="Times New Roman" w:hAnsi="Times New Roman"/>
          <w:szCs w:val="24"/>
          <w:lang w:val="ru-RU"/>
        </w:rPr>
        <w:t>ВІДДІЛЕННЯ № 5 НА ПЕТРОВСЬКОГО ПТ "ЛОМБАРД "ОНІКС ПЛЮС" ЧЕРНИК І К</w:t>
      </w:r>
    </w:p>
    <w:p w:rsidR="00C775E9" w:rsidRPr="00781887" w:rsidRDefault="00C775E9" w:rsidP="004047BD">
      <w:pPr>
        <w:pStyle w:val="FR4"/>
        <w:ind w:firstLine="1702"/>
        <w:rPr>
          <w:rFonts w:ascii="Times New Roman" w:hAnsi="Times New Roman"/>
          <w:szCs w:val="24"/>
          <w:lang w:val="ru-RU"/>
        </w:rPr>
      </w:pPr>
      <w:r w:rsidRPr="00781887">
        <w:rPr>
          <w:rFonts w:ascii="Times New Roman" w:hAnsi="Times New Roman"/>
          <w:szCs w:val="24"/>
          <w:lang w:val="ru-RU"/>
        </w:rPr>
        <w:t>Код ЄДРПОУ ВП: 40698613</w:t>
      </w:r>
    </w:p>
    <w:p w:rsidR="00C775E9" w:rsidRPr="00781887" w:rsidRDefault="00C775E9" w:rsidP="004047BD">
      <w:pPr>
        <w:pStyle w:val="FR4"/>
        <w:spacing w:line="240" w:lineRule="auto"/>
        <w:ind w:firstLine="1702"/>
        <w:rPr>
          <w:rFonts w:ascii="Times New Roman" w:hAnsi="Times New Roman"/>
          <w:szCs w:val="24"/>
          <w:lang w:val="ru-RU"/>
        </w:rPr>
      </w:pPr>
      <w:r w:rsidRPr="00781887">
        <w:rPr>
          <w:rFonts w:ascii="Times New Roman" w:hAnsi="Times New Roman"/>
          <w:szCs w:val="24"/>
          <w:lang w:val="ru-RU"/>
        </w:rPr>
        <w:t>Місцезнаходження ВП: 49000, Дніпропетровська обл., місто Дніпро, Ленінський район, ПРОСПЕКТ ПЕТРОВСЬКОГО, будинок 51А</w:t>
      </w:r>
    </w:p>
    <w:p w:rsidR="00C775E9" w:rsidRPr="00781887" w:rsidRDefault="00C775E9" w:rsidP="004047BD">
      <w:pPr>
        <w:pStyle w:val="FR4"/>
        <w:spacing w:line="240" w:lineRule="auto"/>
        <w:ind w:firstLine="1702"/>
        <w:rPr>
          <w:rFonts w:ascii="Times New Roman" w:hAnsi="Times New Roman"/>
          <w:szCs w:val="24"/>
          <w:lang w:val="ru-RU"/>
        </w:rPr>
      </w:pPr>
    </w:p>
    <w:p w:rsidR="00C775E9" w:rsidRPr="00781887" w:rsidRDefault="00233AFE" w:rsidP="004047BD">
      <w:pPr>
        <w:pStyle w:val="FR4"/>
        <w:ind w:firstLine="1702"/>
        <w:rPr>
          <w:rFonts w:ascii="Times New Roman" w:hAnsi="Times New Roman"/>
          <w:szCs w:val="24"/>
          <w:lang w:val="ru-RU"/>
        </w:rPr>
      </w:pPr>
      <w:r w:rsidRPr="00781887">
        <w:rPr>
          <w:rFonts w:ascii="Times New Roman" w:hAnsi="Times New Roman"/>
          <w:szCs w:val="24"/>
          <w:lang w:val="ru-RU"/>
        </w:rPr>
        <w:t xml:space="preserve">- </w:t>
      </w:r>
      <w:r w:rsidR="00C775E9" w:rsidRPr="00781887">
        <w:rPr>
          <w:rFonts w:ascii="Times New Roman" w:hAnsi="Times New Roman"/>
          <w:szCs w:val="24"/>
          <w:lang w:val="ru-RU"/>
        </w:rPr>
        <w:t>ЦЕНТРАЛЬНЕ ВІДДІЛЕННЯ № 1 ПТ "ЛОМБАРД "ОНІКС ПЛЮС" ЧЕРНИК І К</w:t>
      </w:r>
    </w:p>
    <w:p w:rsidR="00C775E9" w:rsidRPr="00781887" w:rsidRDefault="00C775E9" w:rsidP="004047BD">
      <w:pPr>
        <w:pStyle w:val="FR4"/>
        <w:ind w:firstLine="1702"/>
        <w:rPr>
          <w:rFonts w:ascii="Times New Roman" w:hAnsi="Times New Roman"/>
          <w:szCs w:val="24"/>
          <w:lang w:val="ru-RU"/>
        </w:rPr>
      </w:pPr>
      <w:r w:rsidRPr="00781887">
        <w:rPr>
          <w:rFonts w:ascii="Times New Roman" w:hAnsi="Times New Roman"/>
          <w:szCs w:val="24"/>
          <w:lang w:val="ru-RU"/>
        </w:rPr>
        <w:t>Код ЄДРПОУ ВП: 40698629</w:t>
      </w:r>
    </w:p>
    <w:p w:rsidR="00C775E9" w:rsidRPr="00781887" w:rsidRDefault="00C775E9" w:rsidP="004047BD">
      <w:pPr>
        <w:pStyle w:val="FR4"/>
        <w:spacing w:line="240" w:lineRule="auto"/>
        <w:ind w:firstLine="1702"/>
        <w:rPr>
          <w:rFonts w:ascii="Times New Roman" w:hAnsi="Times New Roman"/>
          <w:szCs w:val="24"/>
          <w:lang w:val="ru-RU"/>
        </w:rPr>
      </w:pPr>
      <w:r w:rsidRPr="00781887">
        <w:rPr>
          <w:rFonts w:ascii="Times New Roman" w:hAnsi="Times New Roman"/>
          <w:szCs w:val="24"/>
          <w:lang w:val="ru-RU"/>
        </w:rPr>
        <w:t>Місцезнаходження ВП: 49000, Дніпропетровська обл., місто Дніпро, Амур-Нижньодніпровський район, ВУЛИЦЯ КАЛИНОВА, будинок 53, БЛОК 6</w:t>
      </w:r>
    </w:p>
    <w:p w:rsidR="00FE287B" w:rsidRPr="00781887" w:rsidRDefault="00FE287B" w:rsidP="004047BD">
      <w:pPr>
        <w:pStyle w:val="FR4"/>
        <w:spacing w:line="240" w:lineRule="auto"/>
        <w:ind w:firstLine="1702"/>
        <w:rPr>
          <w:rFonts w:ascii="Times New Roman" w:hAnsi="Times New Roman"/>
          <w:szCs w:val="24"/>
          <w:lang w:val="ru-RU"/>
        </w:rPr>
      </w:pPr>
    </w:p>
    <w:p w:rsidR="005C0639" w:rsidRPr="00781887" w:rsidRDefault="005C0639" w:rsidP="00524549">
      <w:pPr>
        <w:pStyle w:val="af4"/>
        <w:ind w:firstLine="1702"/>
        <w:jc w:val="both"/>
        <w:rPr>
          <w:rFonts w:ascii="Times New Roman" w:hAnsi="Times New Roman" w:cs="Times New Roman"/>
          <w:szCs w:val="24"/>
          <w:lang w:val="uk-UA"/>
        </w:rPr>
      </w:pPr>
      <w:r w:rsidRPr="00781887">
        <w:rPr>
          <w:rFonts w:ascii="Times New Roman" w:hAnsi="Times New Roman" w:cs="Times New Roman"/>
          <w:szCs w:val="24"/>
          <w:lang w:val="uk-UA"/>
        </w:rPr>
        <w:t xml:space="preserve">Усі відокремлені підрозділи мають довідки про внесення інформації про відокремлений1 підрозділ ломбарду до Державного реєстру фінансових установ . По усім відокремленим підрозділам Держфінпослуг прийняла рішення </w:t>
      </w:r>
      <w:r w:rsidR="00524549">
        <w:rPr>
          <w:rFonts w:ascii="Times New Roman" w:hAnsi="Times New Roman" w:cs="Times New Roman"/>
          <w:szCs w:val="24"/>
          <w:lang w:val="uk-UA"/>
        </w:rPr>
        <w:t xml:space="preserve">від 19.07.2006 р. за № 784-д.  </w:t>
      </w:r>
    </w:p>
    <w:p w:rsidR="005C0639" w:rsidRPr="00781887" w:rsidRDefault="005C0639" w:rsidP="004047BD">
      <w:pPr>
        <w:ind w:firstLine="1702"/>
        <w:jc w:val="both"/>
        <w:rPr>
          <w:lang w:val="uk-UA"/>
        </w:rPr>
      </w:pPr>
    </w:p>
    <w:p w:rsidR="005C0639" w:rsidRDefault="005C0639" w:rsidP="004047BD">
      <w:pPr>
        <w:ind w:firstLine="1702"/>
        <w:jc w:val="both"/>
        <w:rPr>
          <w:color w:val="000000"/>
          <w:lang w:val="uk-UA"/>
        </w:rPr>
      </w:pPr>
      <w:r>
        <w:rPr>
          <w:color w:val="000000"/>
          <w:lang w:val="uk-UA"/>
        </w:rPr>
        <w:t>Установа була створена у формі  повного товариства.</w:t>
      </w:r>
    </w:p>
    <w:p w:rsidR="005C0639" w:rsidRDefault="005C0639" w:rsidP="004047BD">
      <w:pPr>
        <w:ind w:firstLine="1702"/>
        <w:jc w:val="both"/>
        <w:rPr>
          <w:lang w:val="uk-UA"/>
        </w:rPr>
      </w:pPr>
      <w:r>
        <w:rPr>
          <w:color w:val="000000"/>
          <w:lang w:val="uk-UA"/>
        </w:rPr>
        <w:t xml:space="preserve">Метою діяльності Установи  </w:t>
      </w:r>
      <w:r>
        <w:rPr>
          <w:lang w:val="uk-UA"/>
        </w:rPr>
        <w:t>є отримання прибутку. Основними видами діяльності, відповідно до установчих документів, є надання фінансових кредитів за рахунок власних та залучених коштів. Також ломбард може надавати супутні послуги, а саме:</w:t>
      </w:r>
    </w:p>
    <w:p w:rsidR="005C0639" w:rsidRDefault="005C0639" w:rsidP="004047BD">
      <w:pPr>
        <w:ind w:firstLine="1702"/>
        <w:jc w:val="both"/>
        <w:rPr>
          <w:lang w:val="uk-UA"/>
        </w:rPr>
      </w:pPr>
      <w:r>
        <w:rPr>
          <w:lang w:val="uk-UA"/>
        </w:rPr>
        <w:t>- оцінку заставленого майна відповідно до чинного законодавства та/або умов договору;</w:t>
      </w:r>
    </w:p>
    <w:p w:rsidR="005C0639" w:rsidRDefault="005C0639" w:rsidP="004047BD">
      <w:pPr>
        <w:ind w:firstLine="1702"/>
        <w:jc w:val="both"/>
        <w:rPr>
          <w:lang w:val="uk-UA"/>
        </w:rPr>
      </w:pPr>
      <w:r>
        <w:rPr>
          <w:lang w:val="uk-UA"/>
        </w:rPr>
        <w:t>- надання посередницьких послуг зі страхування предмета застави на підставі агентського договору зі страховою компанією;</w:t>
      </w:r>
    </w:p>
    <w:p w:rsidR="005C0639" w:rsidRDefault="005C0639" w:rsidP="004047BD">
      <w:pPr>
        <w:ind w:firstLine="1702"/>
        <w:jc w:val="both"/>
        <w:rPr>
          <w:lang w:val="uk-UA"/>
        </w:rPr>
      </w:pPr>
      <w:r>
        <w:rPr>
          <w:lang w:val="uk-UA"/>
        </w:rPr>
        <w:t>- реалізація заставленого майна відповідно до чинного законодавства та/або умов договору в тому числі прийнятими під заставу ювелірними та побутовими виробами.</w:t>
      </w:r>
    </w:p>
    <w:p w:rsidR="00404857" w:rsidRDefault="00404857" w:rsidP="004047BD">
      <w:pPr>
        <w:ind w:firstLine="1702"/>
        <w:jc w:val="both"/>
        <w:rPr>
          <w:lang w:val="uk-UA"/>
        </w:rPr>
      </w:pPr>
    </w:p>
    <w:p w:rsidR="00404857" w:rsidRPr="00404857" w:rsidRDefault="00404857" w:rsidP="00404857">
      <w:pPr>
        <w:keepNext/>
        <w:autoSpaceDE w:val="0"/>
        <w:spacing w:before="240" w:after="60"/>
        <w:jc w:val="both"/>
        <w:outlineLvl w:val="0"/>
        <w:rPr>
          <w:rFonts w:eastAsiaTheme="minorHAnsi"/>
          <w:b/>
          <w:i/>
          <w:lang w:val="uk-UA" w:eastAsia="en-US"/>
        </w:rPr>
      </w:pPr>
      <w:r w:rsidRPr="00404857">
        <w:rPr>
          <w:rFonts w:eastAsiaTheme="minorHAnsi"/>
          <w:lang w:val="uk-UA" w:eastAsia="en-US"/>
        </w:rPr>
        <w:tab/>
      </w:r>
      <w:r w:rsidRPr="00404857">
        <w:rPr>
          <w:rFonts w:eastAsiaTheme="minorHAnsi"/>
          <w:b/>
          <w:i/>
          <w:lang w:val="uk-UA" w:eastAsia="en-US"/>
        </w:rPr>
        <w:t>Відповідальність керівництва щодо підготовки фінансової звітності.</w:t>
      </w:r>
    </w:p>
    <w:p w:rsidR="00404857" w:rsidRPr="00404857" w:rsidRDefault="00404857" w:rsidP="00404857">
      <w:pPr>
        <w:keepNext/>
        <w:autoSpaceDE w:val="0"/>
        <w:spacing w:before="240" w:after="60"/>
        <w:ind w:firstLine="708"/>
        <w:jc w:val="both"/>
        <w:outlineLvl w:val="0"/>
        <w:rPr>
          <w:rFonts w:eastAsiaTheme="minorHAnsi"/>
          <w:lang w:val="uk-UA" w:eastAsia="en-US"/>
        </w:rPr>
      </w:pPr>
      <w:r w:rsidRPr="00404857">
        <w:rPr>
          <w:rFonts w:eastAsiaTheme="minorHAnsi"/>
          <w:lang w:val="uk-UA" w:eastAsia="en-US"/>
        </w:rPr>
        <w:t>Керівництво несе відповідальність за підготовку фінансової звітності, за вибір відповідних принципів бухгалтерського обліку та послідовне застосування цих принципів, за прийняття обґрунтованих та зважених суджень та оцінок, за  виконання вимог МСФЗ, а також розкриття і пояснення будь-яких істотних відступів від них у звітності, за підготовку звітності Товариства як організації, яка здатна продовжувати діяльність на безперервній основі, якщо не існують у найближчому майбутньому передумови, які б свідчили про протилежне.</w:t>
      </w:r>
    </w:p>
    <w:p w:rsidR="00404857" w:rsidRPr="00404857" w:rsidRDefault="00404857" w:rsidP="00404857">
      <w:pPr>
        <w:keepNext/>
        <w:autoSpaceDE w:val="0"/>
        <w:spacing w:before="240" w:after="60"/>
        <w:ind w:firstLine="708"/>
        <w:jc w:val="both"/>
        <w:outlineLvl w:val="0"/>
        <w:rPr>
          <w:rFonts w:eastAsiaTheme="minorHAnsi"/>
          <w:lang w:val="uk-UA" w:eastAsia="en-US"/>
        </w:rPr>
      </w:pPr>
      <w:r w:rsidRPr="00404857">
        <w:rPr>
          <w:rFonts w:eastAsiaTheme="minorHAnsi"/>
          <w:lang w:val="uk-UA" w:eastAsia="en-US"/>
        </w:rPr>
        <w:t>Керівництво також несе відповідальність за створення, впровадження та підтримання у Товаристві ефективної та надійної системи внутрішнього контролю, ведення достовірної облікової документації у відповідності до законодавства та стандартів України, яка б розкривала з обґрунтованою впевненістю у будь-який час фінансовий стан Товариства та свідчила про те, що фінансова звітність відповідає вимогам МСФЗ. Керівництво застосовує необхідних заходів щодо збереження активів Товариства, виявлення і запобігання випадкам шахрайства та інших порушень, проводить первинний фінансовий моніторинг.</w:t>
      </w:r>
    </w:p>
    <w:p w:rsidR="00404857" w:rsidRDefault="00404857" w:rsidP="00404857">
      <w:pPr>
        <w:keepNext/>
        <w:autoSpaceDE w:val="0"/>
        <w:spacing w:before="240" w:after="60"/>
        <w:jc w:val="both"/>
        <w:outlineLvl w:val="0"/>
        <w:rPr>
          <w:rFonts w:eastAsiaTheme="minorHAnsi"/>
          <w:lang w:val="uk-UA" w:eastAsia="en-US"/>
        </w:rPr>
      </w:pPr>
      <w:r w:rsidRPr="00404857">
        <w:rPr>
          <w:rFonts w:eastAsiaTheme="minorHAnsi"/>
          <w:lang w:val="uk-UA" w:eastAsia="en-US"/>
        </w:rPr>
        <w:t xml:space="preserve">Протягом 2017 року директором Товариства був </w:t>
      </w:r>
      <w:r>
        <w:rPr>
          <w:rFonts w:eastAsiaTheme="minorHAnsi"/>
          <w:lang w:val="uk-UA" w:eastAsia="en-US"/>
        </w:rPr>
        <w:t>Черник Р.Л.</w:t>
      </w:r>
    </w:p>
    <w:p w:rsidR="00404857" w:rsidRPr="00404857" w:rsidRDefault="00404857" w:rsidP="00404857">
      <w:pPr>
        <w:keepNext/>
        <w:autoSpaceDE w:val="0"/>
        <w:spacing w:before="240" w:after="60"/>
        <w:jc w:val="both"/>
        <w:outlineLvl w:val="0"/>
        <w:rPr>
          <w:rFonts w:eastAsiaTheme="minorHAnsi"/>
          <w:lang w:val="uk-UA" w:eastAsia="en-US"/>
        </w:rPr>
      </w:pPr>
      <w:r>
        <w:rPr>
          <w:rFonts w:eastAsiaTheme="minorHAnsi"/>
          <w:lang w:val="uk-UA" w:eastAsia="en-US"/>
        </w:rPr>
        <w:t xml:space="preserve">                                   Головним бухгалтером – Черник В,В.</w:t>
      </w:r>
    </w:p>
    <w:p w:rsidR="00404857" w:rsidRPr="00404857" w:rsidRDefault="00404857" w:rsidP="00404857">
      <w:pPr>
        <w:keepNext/>
        <w:numPr>
          <w:ilvl w:val="1"/>
          <w:numId w:val="28"/>
        </w:numPr>
        <w:pBdr>
          <w:top w:val="nil"/>
          <w:left w:val="nil"/>
          <w:bottom w:val="nil"/>
          <w:right w:val="nil"/>
          <w:between w:val="nil"/>
          <w:bar w:val="nil"/>
        </w:pBdr>
        <w:suppressAutoHyphens w:val="0"/>
        <w:spacing w:after="200" w:line="276" w:lineRule="auto"/>
        <w:ind w:firstLine="567"/>
        <w:outlineLvl w:val="1"/>
        <w:rPr>
          <w:b/>
          <w:bCs/>
          <w:color w:val="000000"/>
          <w:u w:color="000000"/>
          <w:bdr w:val="nil"/>
          <w:lang w:val="uk-UA" w:eastAsia="ru-RU"/>
        </w:rPr>
      </w:pPr>
      <w:bookmarkStart w:id="22" w:name="_Toc1"/>
      <w:r w:rsidRPr="00404857">
        <w:rPr>
          <w:b/>
          <w:bCs/>
          <w:color w:val="000000"/>
          <w:u w:color="000000"/>
          <w:bdr w:val="nil"/>
          <w:lang w:val="uk-UA" w:eastAsia="ru-RU"/>
        </w:rPr>
        <w:t xml:space="preserve">Операційне середовище, безперервність діяльності та подальше функціонування.  </w:t>
      </w:r>
      <w:bookmarkEnd w:id="22"/>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sz w:val="22"/>
          <w:szCs w:val="22"/>
          <w:u w:color="000000"/>
          <w:lang w:val="uk-UA" w:eastAsia="ru-RU"/>
        </w:rPr>
      </w:pPr>
      <w:r w:rsidRPr="00404857">
        <w:rPr>
          <w:rFonts w:eastAsia="Arial Unicode MS"/>
          <w:color w:val="000000"/>
          <w:sz w:val="22"/>
          <w:szCs w:val="22"/>
          <w:u w:color="000000"/>
          <w:bdr w:val="nil"/>
          <w:lang w:val="uk-UA" w:eastAsia="ru-RU"/>
        </w:rPr>
        <w:t xml:space="preserve">ПТ здійснює свою діяльність в Україні. Незважаючи на те, що економіка України вважається ринковою, вона продовжує демонструвати певні риси, властиві економіці, що розвивається. Вони включають, але не </w:t>
      </w:r>
      <w:r w:rsidRPr="00404857">
        <w:rPr>
          <w:rFonts w:eastAsia="Arial Unicode MS"/>
          <w:color w:val="000000"/>
          <w:sz w:val="22"/>
          <w:szCs w:val="22"/>
          <w:u w:color="000000"/>
          <w:bdr w:val="nil"/>
          <w:lang w:val="uk-UA" w:eastAsia="ru-RU"/>
        </w:rPr>
        <w:lastRenderedPageBreak/>
        <w:t xml:space="preserve">обмежуються, низьким рівнем ліквідності на ринках капіталу, високим рівнем інфляції та значним дефіцитом державних фінансів та балансу зовнішньої торгівлі. </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Політико-економічна ситуація в Україні суттєво погіршилася з кінця листопада 2013 року. Політичні та соціальні заворушення, поєднані із зростанням регіонального протистояння, призвели до поглиблення існуючої в країні економічної кризи, зростання дефіциту державного бюджету та скорочення валютних резервів Національного банку України і, як результат, до подальшого зниження суверенних кредитних рейтингів України.</w:t>
      </w:r>
    </w:p>
    <w:p w:rsidR="00404857" w:rsidRPr="00404857" w:rsidRDefault="00404857" w:rsidP="00404857">
      <w:pPr>
        <w:keepNext/>
        <w:pBdr>
          <w:top w:val="nil"/>
          <w:left w:val="nil"/>
          <w:bottom w:val="nil"/>
          <w:right w:val="nil"/>
          <w:between w:val="nil"/>
          <w:bar w:val="nil"/>
        </w:pBdr>
        <w:suppressAutoHyphens w:val="0"/>
        <w:ind w:firstLine="567"/>
        <w:jc w:val="both"/>
        <w:outlineLvl w:val="1"/>
        <w:rPr>
          <w:b/>
          <w:bCs/>
          <w:color w:val="000000"/>
          <w:sz w:val="22"/>
          <w:szCs w:val="22"/>
          <w:u w:color="000000"/>
          <w:bdr w:val="nil"/>
          <w:lang w:val="uk-UA" w:eastAsia="ru-RU"/>
        </w:rPr>
      </w:pPr>
      <w:r w:rsidRPr="00404857">
        <w:rPr>
          <w:b/>
          <w:bCs/>
          <w:color w:val="000000"/>
          <w:sz w:val="22"/>
          <w:szCs w:val="22"/>
          <w:u w:color="000000"/>
          <w:bdr w:val="nil"/>
          <w:lang w:val="uk-UA" w:eastAsia="ru-RU"/>
        </w:rPr>
        <w:t xml:space="preserve">У відповідності до МСБО 29 «Фінансова звітність в умовах гіперінфляції» економіка України вважалась гіперінфляційною протягом 2000 року і попередніх років. Починаючи з 1 січня 2001 року українська економіка  не вважалася гіперінфляційною.  У 2016 році кумулятивний приріст інфляції подолав мінімально допустимий поріг -90% і становив 101,2%  в 2017 році цей показник знизився до 83,2% (множина індексів інфляції за період, що складає три останні роки, включаючи звітний).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В 2017  для перерахунку фінансової звітності  згідно стандарту МСБО 29 не має підстав.</w:t>
      </w:r>
    </w:p>
    <w:p w:rsidR="00404857" w:rsidRPr="00404857" w:rsidRDefault="00404857" w:rsidP="00404857">
      <w:pPr>
        <w:pBdr>
          <w:top w:val="nil"/>
          <w:left w:val="nil"/>
          <w:bottom w:val="nil"/>
          <w:right w:val="nil"/>
          <w:between w:val="nil"/>
          <w:bar w:val="nil"/>
        </w:pBdr>
        <w:suppressAutoHyphens w:val="0"/>
        <w:ind w:firstLine="567"/>
        <w:jc w:val="both"/>
        <w:rPr>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Товариство є фінансовою установою, тому має високу ступінь залежності від законодавчих та економічних обмежень.</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Враховуючи складну економічну ситуацію, аналіз конкурентного середовища, вплив зовнішніх та внутрішніх факторів, прогнози щодо розвитку  ринку фінансових послуг України на 2017 рік, Товариством обрана стратегія  якісного розвитку, порівняно з стратегією  якісного і інтенсивного розвитку у минулих роках.</w:t>
      </w:r>
    </w:p>
    <w:p w:rsidR="00404857" w:rsidRPr="00404857" w:rsidRDefault="00404857" w:rsidP="00404857">
      <w:pPr>
        <w:pBdr>
          <w:top w:val="nil"/>
          <w:left w:val="nil"/>
          <w:bottom w:val="nil"/>
          <w:right w:val="nil"/>
          <w:between w:val="nil"/>
          <w:bar w:val="nil"/>
        </w:pBdr>
        <w:tabs>
          <w:tab w:val="left" w:pos="993"/>
        </w:tabs>
        <w:suppressAutoHyphens w:val="0"/>
        <w:ind w:firstLine="567"/>
        <w:jc w:val="center"/>
        <w:rPr>
          <w:color w:val="000000"/>
          <w:sz w:val="22"/>
          <w:szCs w:val="22"/>
          <w:u w:color="000000"/>
          <w:bdr w:val="nil"/>
          <w:lang w:val="uk-UA" w:eastAsia="ru-RU"/>
        </w:rPr>
      </w:pPr>
      <w:r w:rsidRPr="00404857">
        <w:rPr>
          <w:color w:val="000000"/>
          <w:sz w:val="22"/>
          <w:szCs w:val="22"/>
          <w:u w:color="000000"/>
          <w:bdr w:val="nil"/>
          <w:lang w:val="uk-UA" w:eastAsia="ru-RU"/>
        </w:rPr>
        <w:t>Товариство не має намірів ліквідуватися або припинити діяльність, невизначеності  щодо подій чи умов, які можуть спричинити значний сумнів щодо здатності Товариства продовжувати діяльність на безперервній основі немає. Ця фінансова звітність відображає поточну оцінку (судження)  керівництва стосовно можливого впливу економічних умов на операції та фінансове положення Товариства та не містить будь-яких коригувань відображених сум, які були б необхідні, якби Товариство було неспроможним продовжувати свою діяльність та реалізовувало свої активи не в ході звичайної діяльності. Майбутні умови можуть відрізнятися від оцінок керівництва. Дана  фінансова звітність не включає ніяких коригувань, які могли б мати місце як результат такої невизначеності. Про такі коригування буде повідомлено якщо вони стануть відомими і їх буде можливо оцінити.</w:t>
      </w:r>
    </w:p>
    <w:p w:rsidR="00404857" w:rsidRPr="00404857" w:rsidRDefault="00404857" w:rsidP="00404857">
      <w:pPr>
        <w:pBdr>
          <w:top w:val="nil"/>
          <w:left w:val="nil"/>
          <w:bottom w:val="nil"/>
          <w:right w:val="nil"/>
          <w:between w:val="nil"/>
          <w:bar w:val="nil"/>
        </w:pBdr>
        <w:suppressAutoHyphens w:val="0"/>
        <w:ind w:firstLine="567"/>
        <w:jc w:val="both"/>
        <w:rPr>
          <w:color w:val="000000"/>
          <w:sz w:val="22"/>
          <w:szCs w:val="22"/>
          <w:u w:color="000000"/>
          <w:bdr w:val="nil"/>
          <w:lang w:val="uk-UA" w:eastAsia="ru-RU"/>
        </w:rPr>
      </w:pPr>
      <w:r w:rsidRPr="00404857">
        <w:rPr>
          <w:rFonts w:eastAsia="Arial Unicode MS" w:cs="Arial Unicode MS"/>
          <w:b/>
          <w:bCs/>
          <w:color w:val="000000"/>
          <w:u w:color="000000"/>
          <w:bdr w:val="nil"/>
          <w:lang w:val="uk-UA" w:eastAsia="ru-RU"/>
        </w:rPr>
        <w:t xml:space="preserve">Припущення про безперервність діяльності: </w:t>
      </w:r>
      <w:r w:rsidRPr="00404857">
        <w:rPr>
          <w:rFonts w:eastAsia="Arial Unicode MS" w:cs="Arial Unicode MS"/>
          <w:color w:val="000000"/>
          <w:sz w:val="22"/>
          <w:szCs w:val="22"/>
          <w:u w:color="000000"/>
          <w:bdr w:val="nil"/>
          <w:lang w:val="uk-UA" w:eastAsia="ru-RU"/>
        </w:rPr>
        <w:t xml:space="preserve">виходячи з вищевикладеного, керівництво вважає обґрунтованим складання цієї фінансової звітності на основі припущення, що Товариство  є організацією, здатною продовжувати свою діяльність </w:t>
      </w:r>
      <w:r w:rsidRPr="00404857">
        <w:rPr>
          <w:rFonts w:eastAsia="Arial Unicode MS" w:cs="Arial Unicode MS"/>
          <w:b/>
          <w:bCs/>
          <w:color w:val="000000"/>
          <w:sz w:val="22"/>
          <w:szCs w:val="22"/>
          <w:u w:color="000000"/>
          <w:bdr w:val="nil"/>
          <w:lang w:val="uk-UA" w:eastAsia="ru-RU"/>
        </w:rPr>
        <w:t>на безперервній</w:t>
      </w:r>
      <w:r w:rsidRPr="00404857">
        <w:rPr>
          <w:rFonts w:eastAsia="Arial Unicode MS" w:cs="Arial Unicode MS"/>
          <w:color w:val="000000"/>
          <w:sz w:val="22"/>
          <w:szCs w:val="22"/>
          <w:u w:color="000000"/>
          <w:bdr w:val="nil"/>
          <w:lang w:val="uk-UA" w:eastAsia="ru-RU"/>
        </w:rPr>
        <w:t xml:space="preserve"> основі.</w:t>
      </w:r>
    </w:p>
    <w:p w:rsidR="00404857" w:rsidRPr="00404857" w:rsidRDefault="00404857" w:rsidP="00404857">
      <w:pPr>
        <w:pBdr>
          <w:top w:val="nil"/>
          <w:left w:val="nil"/>
          <w:bottom w:val="nil"/>
          <w:right w:val="nil"/>
          <w:between w:val="nil"/>
          <w:bar w:val="nil"/>
        </w:pBdr>
        <w:suppressAutoHyphens w:val="0"/>
        <w:jc w:val="both"/>
        <w:rPr>
          <w:color w:val="000000"/>
          <w:sz w:val="20"/>
          <w:szCs w:val="20"/>
          <w:u w:color="000000"/>
          <w:bdr w:val="nil"/>
          <w:lang w:val="uk-UA" w:eastAsia="ru-RU"/>
        </w:rPr>
      </w:pPr>
    </w:p>
    <w:p w:rsidR="00404857" w:rsidRPr="00404857" w:rsidRDefault="00404857" w:rsidP="00404857">
      <w:pPr>
        <w:pBdr>
          <w:top w:val="nil"/>
          <w:left w:val="nil"/>
          <w:bottom w:val="single" w:sz="4" w:space="0" w:color="000000"/>
          <w:right w:val="nil"/>
          <w:between w:val="nil"/>
          <w:bar w:val="nil"/>
        </w:pBdr>
        <w:tabs>
          <w:tab w:val="left" w:pos="993"/>
        </w:tabs>
        <w:suppressAutoHyphens w:val="0"/>
        <w:jc w:val="center"/>
        <w:outlineLvl w:val="0"/>
        <w:rPr>
          <w:b/>
          <w:bCs/>
          <w:color w:val="000000"/>
          <w:sz w:val="22"/>
          <w:szCs w:val="22"/>
          <w:u w:color="000000"/>
          <w:bdr w:val="nil"/>
          <w:lang w:val="uk-UA" w:eastAsia="ru-RU"/>
        </w:rPr>
      </w:pPr>
      <w:r w:rsidRPr="00404857">
        <w:rPr>
          <w:b/>
          <w:bCs/>
          <w:color w:val="000000"/>
          <w:sz w:val="22"/>
          <w:szCs w:val="22"/>
          <w:u w:color="000000"/>
          <w:bdr w:val="nil"/>
          <w:lang w:val="uk-UA" w:eastAsia="ru-RU"/>
        </w:rPr>
        <w:t>2.ОСНОВА ДЛЯ ПІДГОТОВКИ, ЗАТВЕРДЖЕННЯ ТА ПОДАННЯ  ФІНАНСОВОЇЗВІТНОСТІ, ДОСТОВІРНЕ ПОДАННЯ ТА ВІДПОВІДНІСТЬ МСФЗ.</w:t>
      </w:r>
    </w:p>
    <w:p w:rsidR="00404857" w:rsidRPr="00404857" w:rsidRDefault="00404857" w:rsidP="00404857">
      <w:pPr>
        <w:pBdr>
          <w:top w:val="nil"/>
          <w:left w:val="nil"/>
          <w:bottom w:val="nil"/>
          <w:right w:val="nil"/>
          <w:between w:val="nil"/>
          <w:bar w:val="nil"/>
        </w:pBdr>
        <w:suppressAutoHyphens w:val="0"/>
        <w:ind w:firstLine="360"/>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Товариство  перейшло на  Міжнародні стандарти фінансової звітності  (МСФЗ) з моменту створення відповідно до положень  МСФЗ (IFRS) 1 «Перше використання міжнародних стандартів фінансової звітності». З цієї дати фінансова звітність Товариства складається відповідно до вимог МСФЗ.</w:t>
      </w:r>
    </w:p>
    <w:p w:rsidR="00404857" w:rsidRPr="00404857" w:rsidRDefault="00404857" w:rsidP="00404857">
      <w:pPr>
        <w:pBdr>
          <w:top w:val="nil"/>
          <w:left w:val="nil"/>
          <w:bottom w:val="nil"/>
          <w:right w:val="nil"/>
          <w:between w:val="nil"/>
          <w:bar w:val="nil"/>
        </w:pBdr>
        <w:tabs>
          <w:tab w:val="left" w:pos="993"/>
        </w:tabs>
        <w:suppressAutoHyphens w:val="0"/>
        <w:jc w:val="both"/>
        <w:rPr>
          <w:color w:val="000000"/>
          <w:sz w:val="22"/>
          <w:szCs w:val="22"/>
          <w:u w:color="000000"/>
          <w:bdr w:val="nil"/>
          <w:lang w:val="uk-UA" w:eastAsia="ru-RU"/>
        </w:rPr>
      </w:pPr>
      <w:r w:rsidRPr="00404857">
        <w:rPr>
          <w:b/>
          <w:bCs/>
          <w:color w:val="000000"/>
          <w:sz w:val="22"/>
          <w:szCs w:val="22"/>
          <w:u w:color="000000"/>
          <w:bdr w:val="nil"/>
          <w:lang w:val="uk-UA" w:eastAsia="ru-RU"/>
        </w:rPr>
        <w:t>Звітний період фінансової звітності</w:t>
      </w:r>
      <w:r w:rsidRPr="00404857">
        <w:rPr>
          <w:color w:val="000000"/>
          <w:sz w:val="22"/>
          <w:szCs w:val="22"/>
          <w:u w:color="000000"/>
          <w:bdr w:val="nil"/>
          <w:lang w:val="uk-UA" w:eastAsia="ru-RU"/>
        </w:rPr>
        <w:t xml:space="preserve"> : календарний рік, тобто період з 01 січня по 31 грудня 2017 року. Наведена фінансова звітність підготовлена станом на 31 грудня 2017 року.</w:t>
      </w:r>
    </w:p>
    <w:p w:rsidR="00404857" w:rsidRPr="00404857" w:rsidRDefault="00404857" w:rsidP="00404857">
      <w:pPr>
        <w:pBdr>
          <w:top w:val="nil"/>
          <w:left w:val="nil"/>
          <w:bottom w:val="nil"/>
          <w:right w:val="nil"/>
          <w:between w:val="nil"/>
          <w:bar w:val="nil"/>
        </w:pBdr>
        <w:tabs>
          <w:tab w:val="left" w:pos="993"/>
        </w:tabs>
        <w:suppressAutoHyphens w:val="0"/>
        <w:jc w:val="both"/>
        <w:rPr>
          <w:color w:val="000000"/>
          <w:sz w:val="22"/>
          <w:szCs w:val="22"/>
          <w:u w:color="000000"/>
          <w:bdr w:val="nil"/>
          <w:lang w:val="uk-UA" w:eastAsia="ru-RU"/>
        </w:rPr>
      </w:pPr>
      <w:r w:rsidRPr="00404857">
        <w:rPr>
          <w:b/>
          <w:bCs/>
          <w:color w:val="000000"/>
          <w:sz w:val="22"/>
          <w:szCs w:val="22"/>
          <w:u w:color="000000"/>
          <w:bdr w:val="nil"/>
          <w:lang w:val="uk-UA" w:eastAsia="ru-RU"/>
        </w:rPr>
        <w:t>Валюта подання, функціональна валюта, ступінь округлення</w:t>
      </w:r>
      <w:r w:rsidRPr="00404857">
        <w:rPr>
          <w:color w:val="000000"/>
          <w:sz w:val="22"/>
          <w:szCs w:val="22"/>
          <w:u w:color="000000"/>
          <w:bdr w:val="nil"/>
          <w:lang w:val="uk-UA" w:eastAsia="ru-RU"/>
        </w:rPr>
        <w:t>: фінансова звітність була підготовлена в національній валюті України – українській гривні (грн.), яка є функціональною валютою. Якщо не зазначено інше, суми представлені в тисячах українських гривень ступінь округлення тис. грн.  без десяткового знака.</w:t>
      </w:r>
    </w:p>
    <w:p w:rsidR="00404857" w:rsidRPr="00404857" w:rsidRDefault="00404857" w:rsidP="00404857">
      <w:pPr>
        <w:pBdr>
          <w:top w:val="nil"/>
          <w:left w:val="nil"/>
          <w:bottom w:val="nil"/>
          <w:right w:val="nil"/>
          <w:between w:val="nil"/>
          <w:bar w:val="nil"/>
        </w:pBdr>
        <w:tabs>
          <w:tab w:val="left" w:pos="993"/>
        </w:tabs>
        <w:suppressAutoHyphens w:val="0"/>
        <w:jc w:val="both"/>
        <w:rPr>
          <w:b/>
          <w:bCs/>
          <w:color w:val="000000"/>
          <w:sz w:val="22"/>
          <w:szCs w:val="22"/>
          <w:u w:color="000000"/>
          <w:bdr w:val="nil"/>
          <w:lang w:val="uk-UA" w:eastAsia="ru-RU"/>
        </w:rPr>
      </w:pPr>
      <w:r w:rsidRPr="00404857">
        <w:rPr>
          <w:b/>
          <w:bCs/>
          <w:color w:val="000000"/>
          <w:sz w:val="22"/>
          <w:szCs w:val="22"/>
          <w:u w:color="000000"/>
          <w:bdr w:val="nil"/>
          <w:lang w:val="uk-UA" w:eastAsia="ru-RU"/>
        </w:rPr>
        <w:t xml:space="preserve">Концептуальна основа: дана фінансова звітність була підготовлена  відповідно до Міжнародних стандартів фінансової звітності (МСФЗ), включаючи Міжнародні стандарти бухгалтерського обліку (МСБО), випущених Радою з Міжнародних стандартів фінансової звітності (РМФСЗ), та Тлумачень і пояснень, опублікованих Міжнародним Комітетом з тлумачення фінансової звітності (МКТФЗ, ПКТ), що офіційно оприлюднені на веб-сайті Міністерства фінансів України. </w:t>
      </w:r>
    </w:p>
    <w:p w:rsidR="00404857" w:rsidRPr="00404857" w:rsidRDefault="00404857" w:rsidP="00404857">
      <w:pPr>
        <w:pBdr>
          <w:top w:val="nil"/>
          <w:left w:val="nil"/>
          <w:bottom w:val="nil"/>
          <w:right w:val="nil"/>
          <w:between w:val="nil"/>
          <w:bar w:val="nil"/>
        </w:pBdr>
        <w:tabs>
          <w:tab w:val="left" w:pos="993"/>
        </w:tabs>
        <w:suppressAutoHyphens w:val="0"/>
        <w:jc w:val="both"/>
        <w:rPr>
          <w:color w:val="000000"/>
          <w:sz w:val="22"/>
          <w:szCs w:val="22"/>
          <w:u w:color="000000"/>
          <w:bdr w:val="nil"/>
          <w:lang w:val="uk-UA" w:eastAsia="ru-RU"/>
        </w:rPr>
      </w:pPr>
      <w:r w:rsidRPr="00404857">
        <w:rPr>
          <w:b/>
          <w:bCs/>
          <w:color w:val="FF0000"/>
          <w:sz w:val="22"/>
          <w:szCs w:val="22"/>
          <w:u w:color="000000"/>
          <w:bdr w:val="nil"/>
          <w:lang w:val="uk-UA" w:eastAsia="ru-RU"/>
        </w:rPr>
        <w:t xml:space="preserve"> </w:t>
      </w:r>
      <w:r w:rsidRPr="00404857">
        <w:rPr>
          <w:color w:val="000000"/>
          <w:sz w:val="22"/>
          <w:szCs w:val="22"/>
          <w:u w:color="000000"/>
          <w:bdr w:val="nil"/>
          <w:lang w:val="uk-UA" w:eastAsia="ru-RU"/>
        </w:rPr>
        <w:t>При формуванні фінансової звітності Товариство керувалося також вимогами національних законодавчих та нормативних актів щодо організації та ведення бухгалтерського обліку та складання фінансової звітності в Україні, які не суперечать вимогам МСФЗ.</w:t>
      </w:r>
    </w:p>
    <w:p w:rsidR="00404857" w:rsidRPr="00404857" w:rsidRDefault="00404857" w:rsidP="00404857">
      <w:pPr>
        <w:pBdr>
          <w:top w:val="nil"/>
          <w:left w:val="nil"/>
          <w:bottom w:val="nil"/>
          <w:right w:val="nil"/>
          <w:between w:val="nil"/>
          <w:bar w:val="nil"/>
        </w:pBdr>
        <w:tabs>
          <w:tab w:val="left" w:pos="993"/>
        </w:tabs>
        <w:suppressAutoHyphens w:val="0"/>
        <w:jc w:val="both"/>
        <w:rPr>
          <w:b/>
          <w:bCs/>
          <w:color w:val="000000"/>
          <w:sz w:val="22"/>
          <w:szCs w:val="22"/>
          <w:u w:color="000000"/>
          <w:bdr w:val="nil"/>
          <w:lang w:val="uk-UA" w:eastAsia="ru-RU"/>
        </w:rPr>
      </w:pPr>
      <w:r w:rsidRPr="00404857">
        <w:rPr>
          <w:b/>
          <w:bCs/>
          <w:color w:val="000000"/>
          <w:sz w:val="22"/>
          <w:szCs w:val="22"/>
          <w:u w:color="000000"/>
          <w:bdr w:val="nil"/>
          <w:lang w:val="uk-UA" w:eastAsia="ru-RU"/>
        </w:rPr>
        <w:t>Фінансова звітність Товариства є фінансовою звітністю загального призначення.</w:t>
      </w:r>
    </w:p>
    <w:p w:rsidR="00404857" w:rsidRPr="00404857" w:rsidRDefault="00404857" w:rsidP="00404857">
      <w:pPr>
        <w:pBdr>
          <w:top w:val="nil"/>
          <w:left w:val="nil"/>
          <w:bottom w:val="nil"/>
          <w:right w:val="nil"/>
          <w:between w:val="nil"/>
          <w:bar w:val="nil"/>
        </w:pBdr>
        <w:tabs>
          <w:tab w:val="left" w:pos="993"/>
        </w:tabs>
        <w:suppressAutoHyphens w:val="0"/>
        <w:jc w:val="both"/>
        <w:rPr>
          <w:color w:val="000000"/>
          <w:sz w:val="22"/>
          <w:szCs w:val="22"/>
          <w:u w:color="000000"/>
          <w:bdr w:val="nil"/>
          <w:lang w:val="uk-UA" w:eastAsia="ru-RU"/>
        </w:rPr>
      </w:pPr>
      <w:r w:rsidRPr="00404857">
        <w:rPr>
          <w:color w:val="000000"/>
          <w:sz w:val="22"/>
          <w:szCs w:val="22"/>
          <w:u w:color="000000"/>
          <w:bdr w:val="nil"/>
          <w:lang w:val="uk-UA" w:eastAsia="ru-RU"/>
        </w:rPr>
        <w:t>Підготовка фінансової звітності відповідно до МСФЗ вимагає від керівництва Товариства надання оцінок та припущень, що впливають на наведені в звітності суми активів та зобов’язань Товариства, розкриття умовних активів та зобов’язань станом на звітну дату і наведені у звітності суми доходів і витрат за звітний період. Фактичні результати можуть несуттєво відрізнятися від таких оцінок. При застосуванні облікової політики керівництво Товариства застосовувало власний розсуд та власні судження, що наведені нижче.</w:t>
      </w:r>
    </w:p>
    <w:p w:rsidR="00404857" w:rsidRPr="00404857" w:rsidRDefault="00404857" w:rsidP="00404857">
      <w:pPr>
        <w:pBdr>
          <w:top w:val="nil"/>
          <w:left w:val="nil"/>
          <w:bottom w:val="nil"/>
          <w:right w:val="nil"/>
          <w:between w:val="nil"/>
          <w:bar w:val="nil"/>
        </w:pBdr>
        <w:tabs>
          <w:tab w:val="left" w:pos="993"/>
        </w:tabs>
        <w:suppressAutoHyphens w:val="0"/>
        <w:jc w:val="both"/>
        <w:rPr>
          <w:b/>
          <w:bCs/>
          <w:i/>
          <w:iCs/>
          <w:color w:val="000000"/>
          <w:u w:color="000000"/>
          <w:bdr w:val="nil"/>
          <w:lang w:val="uk-UA" w:eastAsia="ru-RU"/>
        </w:rPr>
      </w:pPr>
      <w:r w:rsidRPr="00404857">
        <w:rPr>
          <w:b/>
          <w:bCs/>
          <w:i/>
          <w:iCs/>
          <w:color w:val="000000"/>
          <w:u w:color="000000"/>
          <w:bdr w:val="nil"/>
          <w:lang w:val="uk-UA" w:eastAsia="ru-RU"/>
        </w:rPr>
        <w:t>Основоположними допущеннями  при підготовці фінансових звітів Товариства відповідно до МСБО 1 є принцип нарахування та безперервність діяльності.</w:t>
      </w:r>
    </w:p>
    <w:p w:rsidR="00404857" w:rsidRPr="00404857" w:rsidRDefault="00404857" w:rsidP="00404857">
      <w:pPr>
        <w:pBdr>
          <w:top w:val="nil"/>
          <w:left w:val="nil"/>
          <w:bottom w:val="nil"/>
          <w:right w:val="nil"/>
          <w:between w:val="nil"/>
          <w:bar w:val="nil"/>
        </w:pBdr>
        <w:suppressAutoHyphens w:val="0"/>
        <w:ind w:left="360"/>
        <w:outlineLvl w:val="1"/>
        <w:rPr>
          <w:rFonts w:ascii="Arial" w:eastAsia="Arial Unicode MS" w:hAnsi="Arial" w:cs="Arial Unicode MS"/>
          <w:b/>
          <w:bCs/>
          <w:color w:val="000000"/>
          <w:u w:color="000000"/>
          <w:bdr w:val="nil"/>
          <w:lang w:val="uk-UA" w:eastAsia="ru-RU"/>
        </w:rPr>
      </w:pPr>
      <w:r w:rsidRPr="00404857">
        <w:rPr>
          <w:rFonts w:eastAsia="Arial Unicode MS" w:cs="Arial Unicode MS"/>
          <w:b/>
          <w:bCs/>
          <w:color w:val="000000"/>
          <w:u w:color="000000"/>
          <w:bdr w:val="nil"/>
          <w:lang w:val="uk-UA" w:eastAsia="ru-RU"/>
        </w:rPr>
        <w:lastRenderedPageBreak/>
        <w:t>2.1. Застосування нових,  переглянутих та змінених  Міжнародних стандартів фінансової звітності  та інтерпретацій</w:t>
      </w:r>
      <w:r w:rsidRPr="00404857">
        <w:rPr>
          <w:rFonts w:ascii="Arial" w:eastAsia="Arial Unicode MS" w:hAnsi="Arial" w:cs="Arial Unicode MS"/>
          <w:b/>
          <w:bCs/>
          <w:color w:val="000000"/>
          <w:u w:color="000000"/>
          <w:bdr w:val="nil"/>
          <w:lang w:val="uk-UA" w:eastAsia="ru-RU"/>
        </w:rPr>
        <w:t xml:space="preserve">.  </w:t>
      </w:r>
    </w:p>
    <w:p w:rsidR="00404857" w:rsidRPr="00404857" w:rsidRDefault="00404857" w:rsidP="00404857">
      <w:pPr>
        <w:pBdr>
          <w:top w:val="nil"/>
          <w:left w:val="nil"/>
          <w:bottom w:val="nil"/>
          <w:right w:val="nil"/>
          <w:between w:val="nil"/>
          <w:bar w:val="nil"/>
        </w:pBdr>
        <w:suppressAutoHyphens w:val="0"/>
        <w:ind w:left="360"/>
        <w:outlineLvl w:val="1"/>
        <w:rPr>
          <w:rFonts w:ascii="Arial" w:eastAsia="Arial Unicode MS" w:hAnsi="Arial" w:cs="Arial Unicode MS"/>
          <w:b/>
          <w:bCs/>
          <w:color w:val="000000"/>
          <w:u w:color="000000"/>
          <w:bdr w:val="nil"/>
          <w:lang w:val="uk-UA" w:eastAsia="ru-RU"/>
        </w:rPr>
      </w:pP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olor w:val="000000"/>
          <w:u w:color="000000"/>
          <w:bdr w:val="nil"/>
          <w:lang w:val="uk-UA" w:eastAsia="ru-RU"/>
        </w:rPr>
      </w:pPr>
      <w:r w:rsidRPr="00404857">
        <w:rPr>
          <w:rFonts w:eastAsia="Arial Unicode MS"/>
          <w:color w:val="000000"/>
          <w:u w:color="000000"/>
          <w:bdr w:val="nil"/>
          <w:lang w:val="uk-UA" w:eastAsia="ru-RU"/>
        </w:rPr>
        <w:t>У 2017році Компанія прийняла до застосування усі нові та переглянуті стандарти та тлумачення, випущені Радою з Міжнародних стандартів бухгалтерського обліку („РМСБО”) та Комітетом з тлумачень Міжнародних стандартів фінансової звітності („КТ МСФЗ”) при РМСБО, які стосуються операцій Компаній та набули чинності стосовно річних звітних періодів, які починаються на 1 січня 2017 року:</w:t>
      </w:r>
    </w:p>
    <w:tbl>
      <w:tblPr>
        <w:tblW w:w="8931" w:type="dxa"/>
        <w:tblInd w:w="108" w:type="dxa"/>
        <w:tblCellMar>
          <w:left w:w="0" w:type="dxa"/>
          <w:right w:w="0" w:type="dxa"/>
        </w:tblCellMar>
        <w:tblLook w:val="04A0" w:firstRow="1" w:lastRow="0" w:firstColumn="1" w:lastColumn="0" w:noHBand="0" w:noVBand="1"/>
      </w:tblPr>
      <w:tblGrid>
        <w:gridCol w:w="6521"/>
        <w:gridCol w:w="2410"/>
      </w:tblGrid>
      <w:tr w:rsidR="00404857" w:rsidRPr="007D7D07" w:rsidTr="006A3E59">
        <w:tc>
          <w:tcPr>
            <w:tcW w:w="6521" w:type="dxa"/>
            <w:tcMar>
              <w:top w:w="0" w:type="dxa"/>
              <w:left w:w="108" w:type="dxa"/>
              <w:bottom w:w="0" w:type="dxa"/>
              <w:right w:w="108" w:type="dxa"/>
            </w:tcMar>
            <w:vAlign w:val="bottom"/>
            <w:hideMark/>
          </w:tcPr>
          <w:p w:rsidR="00404857" w:rsidRPr="00404857" w:rsidRDefault="00404857" w:rsidP="00404857">
            <w:pPr>
              <w:pBdr>
                <w:top w:val="nil"/>
                <w:left w:val="nil"/>
                <w:bottom w:val="nil"/>
                <w:right w:val="nil"/>
                <w:between w:val="nil"/>
                <w:bar w:val="nil"/>
              </w:pBdr>
              <w:suppressAutoHyphens w:val="0"/>
              <w:autoSpaceDE w:val="0"/>
              <w:autoSpaceDN w:val="0"/>
              <w:ind w:left="175" w:right="-108" w:hanging="275"/>
              <w:rPr>
                <w:rFonts w:eastAsia="Arial Unicode MS"/>
                <w:b/>
                <w:bCs/>
                <w:color w:val="000000"/>
                <w:u w:color="000000"/>
                <w:bdr w:val="nil"/>
                <w:lang w:val="uk-UA" w:eastAsia="en-GB"/>
              </w:rPr>
            </w:pPr>
            <w:r w:rsidRPr="00404857">
              <w:rPr>
                <w:rFonts w:eastAsia="Arial Unicode MS"/>
                <w:b/>
                <w:bCs/>
                <w:color w:val="000000"/>
                <w:u w:color="000000"/>
                <w:bdr w:val="nil"/>
                <w:lang w:val="uk-UA" w:eastAsia="en-GB"/>
              </w:rPr>
              <w:t>Стандарти/тлумачення</w:t>
            </w:r>
          </w:p>
        </w:tc>
        <w:tc>
          <w:tcPr>
            <w:tcW w:w="2410" w:type="dxa"/>
            <w:tcBorders>
              <w:top w:val="nil"/>
              <w:left w:val="nil"/>
              <w:bottom w:val="single" w:sz="8" w:space="0" w:color="auto"/>
              <w:right w:val="nil"/>
            </w:tcBorders>
            <w:tcMar>
              <w:top w:w="0" w:type="dxa"/>
              <w:left w:w="108" w:type="dxa"/>
              <w:bottom w:w="0" w:type="dxa"/>
              <w:right w:w="108" w:type="dxa"/>
            </w:tcMar>
            <w:vAlign w:val="bottom"/>
            <w:hideMark/>
          </w:tcPr>
          <w:p w:rsidR="00404857" w:rsidRPr="00404857" w:rsidRDefault="00404857" w:rsidP="00404857">
            <w:pPr>
              <w:pBdr>
                <w:top w:val="nil"/>
                <w:left w:val="nil"/>
                <w:bottom w:val="nil"/>
                <w:right w:val="nil"/>
                <w:between w:val="nil"/>
                <w:bar w:val="nil"/>
              </w:pBdr>
              <w:suppressAutoHyphens w:val="0"/>
              <w:autoSpaceDE w:val="0"/>
              <w:autoSpaceDN w:val="0"/>
              <w:ind w:left="-113" w:right="-113"/>
              <w:jc w:val="center"/>
              <w:rPr>
                <w:rFonts w:eastAsia="Arial Unicode MS"/>
                <w:b/>
                <w:bCs/>
                <w:color w:val="000000"/>
                <w:u w:color="000000"/>
                <w:bdr w:val="nil"/>
                <w:lang w:val="uk-UA" w:eastAsia="en-GB"/>
              </w:rPr>
            </w:pPr>
            <w:r w:rsidRPr="00404857">
              <w:rPr>
                <w:rFonts w:eastAsia="Arial Unicode MS"/>
                <w:b/>
                <w:bCs/>
                <w:color w:val="000000"/>
                <w:u w:color="000000"/>
                <w:bdr w:val="nil"/>
                <w:lang w:val="uk-UA" w:eastAsia="en-GB"/>
              </w:rPr>
              <w:t>Набувають чинності щодо річних облікових періодів, які починаються з або після</w:t>
            </w:r>
          </w:p>
        </w:tc>
      </w:tr>
      <w:tr w:rsidR="00404857" w:rsidRPr="007D7D07" w:rsidTr="006A3E59">
        <w:tc>
          <w:tcPr>
            <w:tcW w:w="6521" w:type="dxa"/>
            <w:tcMar>
              <w:top w:w="0" w:type="dxa"/>
              <w:left w:w="108" w:type="dxa"/>
              <w:bottom w:w="0" w:type="dxa"/>
              <w:right w:w="108" w:type="dxa"/>
            </w:tcMar>
          </w:tcPr>
          <w:p w:rsidR="00404857" w:rsidRPr="00404857" w:rsidRDefault="00404857" w:rsidP="00404857">
            <w:pPr>
              <w:pBdr>
                <w:top w:val="nil"/>
                <w:left w:val="nil"/>
                <w:bottom w:val="nil"/>
                <w:right w:val="nil"/>
                <w:between w:val="nil"/>
                <w:bar w:val="nil"/>
              </w:pBdr>
              <w:suppressAutoHyphens w:val="0"/>
              <w:autoSpaceDE w:val="0"/>
              <w:autoSpaceDN w:val="0"/>
              <w:ind w:left="-82" w:right="-108"/>
              <w:rPr>
                <w:rFonts w:eastAsia="Arial Unicode MS"/>
                <w:color w:val="000000"/>
                <w:u w:color="000000"/>
                <w:bdr w:val="nil"/>
                <w:lang w:val="uk-UA" w:eastAsia="en-US"/>
              </w:rPr>
            </w:pPr>
          </w:p>
        </w:tc>
        <w:tc>
          <w:tcPr>
            <w:tcW w:w="2410" w:type="dxa"/>
            <w:tcMar>
              <w:top w:w="0" w:type="dxa"/>
              <w:left w:w="108" w:type="dxa"/>
              <w:bottom w:w="0" w:type="dxa"/>
              <w:right w:w="108" w:type="dxa"/>
            </w:tcMar>
            <w:vAlign w:val="bottom"/>
          </w:tcPr>
          <w:p w:rsidR="00404857" w:rsidRPr="00404857" w:rsidRDefault="00404857" w:rsidP="00404857">
            <w:pPr>
              <w:pBdr>
                <w:top w:val="nil"/>
                <w:left w:val="nil"/>
                <w:bottom w:val="nil"/>
                <w:right w:val="nil"/>
                <w:between w:val="nil"/>
                <w:bar w:val="nil"/>
              </w:pBdr>
              <w:suppressAutoHyphens w:val="0"/>
              <w:autoSpaceDE w:val="0"/>
              <w:autoSpaceDN w:val="0"/>
              <w:ind w:left="-113" w:right="-107"/>
              <w:jc w:val="center"/>
              <w:rPr>
                <w:rFonts w:eastAsia="Arial Unicode MS"/>
                <w:b/>
                <w:bCs/>
                <w:color w:val="000000"/>
                <w:u w:color="000000"/>
                <w:bdr w:val="nil"/>
                <w:lang w:val="uk-UA" w:eastAsia="en-GB"/>
              </w:rPr>
            </w:pPr>
          </w:p>
        </w:tc>
      </w:tr>
      <w:tr w:rsidR="00404857" w:rsidRPr="00404857" w:rsidTr="006A3E59">
        <w:tc>
          <w:tcPr>
            <w:tcW w:w="6521" w:type="dxa"/>
            <w:tcMar>
              <w:top w:w="0" w:type="dxa"/>
              <w:left w:w="108" w:type="dxa"/>
              <w:bottom w:w="0" w:type="dxa"/>
              <w:right w:w="108" w:type="dxa"/>
            </w:tcMar>
            <w:vAlign w:val="bottom"/>
            <w:hideMark/>
          </w:tcPr>
          <w:p w:rsidR="00404857" w:rsidRPr="00404857" w:rsidRDefault="00404857" w:rsidP="00404857">
            <w:pPr>
              <w:pBdr>
                <w:top w:val="nil"/>
                <w:left w:val="nil"/>
                <w:bottom w:val="nil"/>
                <w:right w:val="nil"/>
                <w:between w:val="nil"/>
                <w:bar w:val="nil"/>
              </w:pBdr>
              <w:suppressAutoHyphens w:val="0"/>
              <w:autoSpaceDE w:val="0"/>
              <w:autoSpaceDN w:val="0"/>
              <w:ind w:left="-82" w:right="-108"/>
              <w:rPr>
                <w:rFonts w:eastAsia="Arial Unicode MS"/>
                <w:color w:val="000000"/>
                <w:u w:color="000000"/>
                <w:bdr w:val="nil"/>
                <w:lang w:val="uk-UA" w:eastAsia="en-US"/>
              </w:rPr>
            </w:pPr>
            <w:r w:rsidRPr="00404857">
              <w:rPr>
                <w:rFonts w:eastAsia="Arial Unicode MS"/>
                <w:color w:val="000000"/>
                <w:u w:color="000000"/>
                <w:bdr w:val="nil"/>
                <w:lang w:val="uk-UA" w:eastAsia="ru-RU"/>
              </w:rPr>
              <w:t>Поправки до МСФЗ (IAS) 7 «Ініціатива в сфері розкриття інформації»</w:t>
            </w:r>
          </w:p>
        </w:tc>
        <w:tc>
          <w:tcPr>
            <w:tcW w:w="2410" w:type="dxa"/>
            <w:tcMar>
              <w:top w:w="0" w:type="dxa"/>
              <w:left w:w="108" w:type="dxa"/>
              <w:bottom w:w="0" w:type="dxa"/>
              <w:right w:w="108" w:type="dxa"/>
            </w:tcMar>
            <w:vAlign w:val="center"/>
            <w:hideMark/>
          </w:tcPr>
          <w:p w:rsidR="00404857" w:rsidRPr="00404857" w:rsidRDefault="00404857" w:rsidP="00404857">
            <w:pPr>
              <w:pBdr>
                <w:top w:val="nil"/>
                <w:left w:val="nil"/>
                <w:bottom w:val="nil"/>
                <w:right w:val="nil"/>
                <w:between w:val="nil"/>
                <w:bar w:val="nil"/>
              </w:pBdr>
              <w:suppressAutoHyphens w:val="0"/>
              <w:autoSpaceDE w:val="0"/>
              <w:autoSpaceDN w:val="0"/>
              <w:ind w:left="-113"/>
              <w:jc w:val="right"/>
              <w:rPr>
                <w:rFonts w:eastAsia="Arial Unicode MS"/>
                <w:color w:val="000000"/>
                <w:u w:color="000000"/>
                <w:bdr w:val="nil"/>
                <w:lang w:val="uk-UA" w:eastAsia="en-GB"/>
              </w:rPr>
            </w:pPr>
            <w:r w:rsidRPr="00404857">
              <w:rPr>
                <w:rFonts w:eastAsia="Arial Unicode MS"/>
                <w:color w:val="000000"/>
                <w:u w:color="000000"/>
                <w:bdr w:val="nil"/>
                <w:lang w:val="uk-UA" w:eastAsia="ru-RU"/>
              </w:rPr>
              <w:t>1 січня 201</w:t>
            </w:r>
            <w:r w:rsidRPr="00404857">
              <w:rPr>
                <w:rFonts w:eastAsia="Arial Unicode MS"/>
                <w:color w:val="000000"/>
                <w:u w:color="000000"/>
                <w:bdr w:val="nil"/>
                <w:lang w:eastAsia="ru-RU"/>
              </w:rPr>
              <w:t>7</w:t>
            </w:r>
            <w:r w:rsidRPr="00404857">
              <w:rPr>
                <w:rFonts w:eastAsia="Arial Unicode MS"/>
                <w:color w:val="000000"/>
                <w:u w:color="000000"/>
                <w:bdr w:val="nil"/>
                <w:lang w:val="uk-UA" w:eastAsia="ru-RU"/>
              </w:rPr>
              <w:t xml:space="preserve"> року</w:t>
            </w:r>
          </w:p>
        </w:tc>
      </w:tr>
      <w:tr w:rsidR="00404857" w:rsidRPr="00404857" w:rsidTr="006A3E59">
        <w:tc>
          <w:tcPr>
            <w:tcW w:w="6521" w:type="dxa"/>
            <w:tcMar>
              <w:top w:w="0" w:type="dxa"/>
              <w:left w:w="108" w:type="dxa"/>
              <w:bottom w:w="0" w:type="dxa"/>
              <w:right w:w="108" w:type="dxa"/>
            </w:tcMar>
            <w:vAlign w:val="bottom"/>
            <w:hideMark/>
          </w:tcPr>
          <w:p w:rsidR="00404857" w:rsidRPr="00404857" w:rsidRDefault="00404857" w:rsidP="00404857">
            <w:pPr>
              <w:pBdr>
                <w:top w:val="nil"/>
                <w:left w:val="nil"/>
                <w:bottom w:val="nil"/>
                <w:right w:val="nil"/>
                <w:between w:val="nil"/>
                <w:bar w:val="nil"/>
              </w:pBdr>
              <w:suppressAutoHyphens w:val="0"/>
              <w:autoSpaceDE w:val="0"/>
              <w:autoSpaceDN w:val="0"/>
              <w:ind w:left="-82" w:right="-108"/>
              <w:rPr>
                <w:rFonts w:eastAsia="Arial Unicode MS"/>
                <w:color w:val="000000"/>
                <w:u w:color="000000"/>
                <w:bdr w:val="nil"/>
                <w:lang w:val="uk-UA" w:eastAsia="en-US"/>
              </w:rPr>
            </w:pPr>
            <w:r w:rsidRPr="00404857">
              <w:rPr>
                <w:rFonts w:eastAsia="Arial Unicode MS"/>
                <w:color w:val="000000"/>
                <w:u w:color="000000"/>
                <w:bdr w:val="nil"/>
                <w:lang w:val="uk-UA" w:eastAsia="ru-RU"/>
              </w:rPr>
              <w:t>Поправки до МСФЗ (IAS) 12 «Визнання відстрочених податкових активів щодо нереалізованих збитків»</w:t>
            </w:r>
          </w:p>
          <w:p w:rsidR="00404857" w:rsidRPr="00404857" w:rsidRDefault="00404857" w:rsidP="00404857">
            <w:pPr>
              <w:pBdr>
                <w:top w:val="nil"/>
                <w:left w:val="nil"/>
                <w:bottom w:val="nil"/>
                <w:right w:val="nil"/>
                <w:between w:val="nil"/>
                <w:bar w:val="nil"/>
              </w:pBdr>
              <w:suppressAutoHyphens w:val="0"/>
              <w:autoSpaceDE w:val="0"/>
              <w:autoSpaceDN w:val="0"/>
              <w:ind w:left="-82" w:right="-108"/>
              <w:rPr>
                <w:rFonts w:eastAsia="Arial Unicode MS"/>
                <w:color w:val="000000"/>
                <w:u w:color="000000"/>
                <w:bdr w:val="nil"/>
                <w:lang w:val="uk-UA" w:eastAsia="ru-RU"/>
              </w:rPr>
            </w:pPr>
            <w:r w:rsidRPr="00404857">
              <w:rPr>
                <w:rFonts w:eastAsia="Arial Unicode MS"/>
                <w:color w:val="000000"/>
                <w:u w:color="000000"/>
                <w:bdr w:val="nil"/>
                <w:lang w:val="uk-UA" w:eastAsia="ru-RU"/>
              </w:rPr>
              <w:t>«Щорічні удосконалення МСФЗ, період 2014-2016 рр.»</w:t>
            </w:r>
          </w:p>
        </w:tc>
        <w:tc>
          <w:tcPr>
            <w:tcW w:w="2410" w:type="dxa"/>
            <w:tcMar>
              <w:top w:w="0" w:type="dxa"/>
              <w:left w:w="108" w:type="dxa"/>
              <w:bottom w:w="0" w:type="dxa"/>
              <w:right w:w="108" w:type="dxa"/>
            </w:tcMar>
            <w:vAlign w:val="bottom"/>
          </w:tcPr>
          <w:p w:rsidR="00404857" w:rsidRPr="00404857" w:rsidRDefault="00404857" w:rsidP="00404857">
            <w:pPr>
              <w:pBdr>
                <w:top w:val="nil"/>
                <w:left w:val="nil"/>
                <w:bottom w:val="nil"/>
                <w:right w:val="nil"/>
                <w:between w:val="nil"/>
                <w:bar w:val="nil"/>
              </w:pBdr>
              <w:suppressAutoHyphens w:val="0"/>
              <w:ind w:left="140" w:hanging="140"/>
              <w:jc w:val="right"/>
              <w:rPr>
                <w:rFonts w:eastAsia="Arial Unicode MS"/>
                <w:color w:val="000000"/>
                <w:u w:color="000000"/>
                <w:bdr w:val="nil"/>
                <w:lang w:val="uk-UA" w:eastAsia="ru-RU"/>
              </w:rPr>
            </w:pPr>
          </w:p>
          <w:p w:rsidR="00404857" w:rsidRPr="00404857" w:rsidRDefault="00404857" w:rsidP="00404857">
            <w:pPr>
              <w:pBdr>
                <w:top w:val="nil"/>
                <w:left w:val="nil"/>
                <w:bottom w:val="nil"/>
                <w:right w:val="nil"/>
                <w:between w:val="nil"/>
                <w:bar w:val="nil"/>
              </w:pBdr>
              <w:suppressAutoHyphens w:val="0"/>
              <w:ind w:left="140" w:hanging="140"/>
              <w:jc w:val="right"/>
              <w:rPr>
                <w:rFonts w:eastAsia="Arial Unicode MS"/>
                <w:color w:val="000000"/>
                <w:u w:color="000000"/>
                <w:bdr w:val="nil"/>
                <w:lang w:val="uk-UA" w:eastAsia="ru-RU"/>
              </w:rPr>
            </w:pPr>
            <w:r w:rsidRPr="00404857">
              <w:rPr>
                <w:rFonts w:eastAsia="Arial Unicode MS"/>
                <w:color w:val="000000"/>
                <w:u w:color="000000"/>
                <w:bdr w:val="nil"/>
                <w:lang w:val="uk-UA" w:eastAsia="ru-RU"/>
              </w:rPr>
              <w:t xml:space="preserve">1 січня 2017 року  </w:t>
            </w:r>
          </w:p>
          <w:p w:rsidR="00404857" w:rsidRPr="00404857" w:rsidRDefault="00404857" w:rsidP="00404857">
            <w:pPr>
              <w:pBdr>
                <w:top w:val="nil"/>
                <w:left w:val="nil"/>
                <w:bottom w:val="nil"/>
                <w:right w:val="nil"/>
                <w:between w:val="nil"/>
                <w:bar w:val="nil"/>
              </w:pBdr>
              <w:suppressAutoHyphens w:val="0"/>
              <w:ind w:left="140" w:hanging="140"/>
              <w:jc w:val="right"/>
              <w:rPr>
                <w:rFonts w:eastAsia="Arial Unicode MS"/>
                <w:color w:val="000000"/>
                <w:u w:color="000000"/>
                <w:bdr w:val="nil"/>
                <w:lang w:val="uk-UA" w:eastAsia="ru-RU"/>
              </w:rPr>
            </w:pPr>
          </w:p>
        </w:tc>
      </w:tr>
      <w:tr w:rsidR="00404857" w:rsidRPr="00404857" w:rsidTr="006A3E59">
        <w:tc>
          <w:tcPr>
            <w:tcW w:w="6521" w:type="dxa"/>
            <w:tcMar>
              <w:top w:w="0" w:type="dxa"/>
              <w:left w:w="108" w:type="dxa"/>
              <w:bottom w:w="0" w:type="dxa"/>
              <w:right w:w="108" w:type="dxa"/>
            </w:tcMar>
            <w:vAlign w:val="bottom"/>
          </w:tcPr>
          <w:p w:rsidR="00404857" w:rsidRPr="00404857" w:rsidRDefault="00404857" w:rsidP="00404857">
            <w:pPr>
              <w:pBdr>
                <w:top w:val="nil"/>
                <w:left w:val="nil"/>
                <w:bottom w:val="nil"/>
                <w:right w:val="nil"/>
                <w:between w:val="nil"/>
                <w:bar w:val="nil"/>
              </w:pBdr>
              <w:suppressAutoHyphens w:val="0"/>
              <w:autoSpaceDE w:val="0"/>
              <w:autoSpaceDN w:val="0"/>
              <w:ind w:right="-108"/>
              <w:rPr>
                <w:rFonts w:eastAsia="Arial Unicode MS"/>
                <w:color w:val="000000"/>
                <w:u w:color="000000"/>
                <w:bdr w:val="nil"/>
                <w:lang w:val="uk-UA" w:eastAsia="ru-RU"/>
              </w:rPr>
            </w:pPr>
          </w:p>
        </w:tc>
        <w:tc>
          <w:tcPr>
            <w:tcW w:w="2410" w:type="dxa"/>
            <w:tcMar>
              <w:top w:w="0" w:type="dxa"/>
              <w:left w:w="108" w:type="dxa"/>
              <w:bottom w:w="0" w:type="dxa"/>
              <w:right w:w="108" w:type="dxa"/>
            </w:tcMar>
            <w:vAlign w:val="bottom"/>
          </w:tcPr>
          <w:p w:rsidR="00404857" w:rsidRPr="00404857" w:rsidRDefault="00404857" w:rsidP="00404857">
            <w:pPr>
              <w:pBdr>
                <w:top w:val="nil"/>
                <w:left w:val="nil"/>
                <w:bottom w:val="nil"/>
                <w:right w:val="nil"/>
                <w:between w:val="nil"/>
                <w:bar w:val="nil"/>
              </w:pBdr>
              <w:suppressAutoHyphens w:val="0"/>
              <w:ind w:left="140" w:hanging="140"/>
              <w:jc w:val="right"/>
              <w:rPr>
                <w:rFonts w:eastAsia="Arial Unicode MS"/>
                <w:color w:val="000000"/>
                <w:u w:color="000000"/>
                <w:bdr w:val="nil"/>
                <w:lang w:val="uk-UA" w:eastAsia="ru-RU"/>
              </w:rPr>
            </w:pPr>
            <w:r w:rsidRPr="00404857">
              <w:rPr>
                <w:rFonts w:eastAsia="Arial Unicode MS"/>
                <w:color w:val="000000"/>
                <w:u w:color="000000"/>
                <w:bdr w:val="nil"/>
                <w:lang w:val="uk-UA" w:eastAsia="ru-RU"/>
              </w:rPr>
              <w:t xml:space="preserve">1 січня 2017 року  </w:t>
            </w:r>
          </w:p>
          <w:p w:rsidR="00404857" w:rsidRPr="00404857" w:rsidRDefault="00404857" w:rsidP="00404857">
            <w:pPr>
              <w:pBdr>
                <w:top w:val="nil"/>
                <w:left w:val="nil"/>
                <w:bottom w:val="nil"/>
                <w:right w:val="nil"/>
                <w:between w:val="nil"/>
                <w:bar w:val="nil"/>
              </w:pBdr>
              <w:suppressAutoHyphens w:val="0"/>
              <w:autoSpaceDE w:val="0"/>
              <w:autoSpaceDN w:val="0"/>
              <w:ind w:left="-113"/>
              <w:jc w:val="right"/>
              <w:rPr>
                <w:rFonts w:eastAsia="Arial Unicode MS"/>
                <w:color w:val="000000"/>
                <w:u w:color="000000"/>
                <w:bdr w:val="nil"/>
                <w:lang w:val="uk-UA" w:eastAsia="en-GB"/>
              </w:rPr>
            </w:pPr>
          </w:p>
        </w:tc>
      </w:tr>
      <w:tr w:rsidR="00404857" w:rsidRPr="00404857" w:rsidTr="006A3E59">
        <w:tc>
          <w:tcPr>
            <w:tcW w:w="6521" w:type="dxa"/>
            <w:tcMar>
              <w:top w:w="0" w:type="dxa"/>
              <w:left w:w="108" w:type="dxa"/>
              <w:bottom w:w="0" w:type="dxa"/>
              <w:right w:w="108" w:type="dxa"/>
            </w:tcMar>
            <w:vAlign w:val="bottom"/>
          </w:tcPr>
          <w:p w:rsidR="00404857" w:rsidRPr="00404857" w:rsidRDefault="00404857" w:rsidP="00404857">
            <w:pPr>
              <w:pBdr>
                <w:top w:val="nil"/>
                <w:left w:val="nil"/>
                <w:bottom w:val="nil"/>
                <w:right w:val="nil"/>
                <w:between w:val="nil"/>
                <w:bar w:val="nil"/>
              </w:pBdr>
              <w:suppressAutoHyphens w:val="0"/>
              <w:autoSpaceDE w:val="0"/>
              <w:autoSpaceDN w:val="0"/>
              <w:ind w:left="-108" w:right="-108"/>
              <w:jc w:val="both"/>
              <w:rPr>
                <w:rFonts w:eastAsia="Arial Unicode MS"/>
                <w:color w:val="000000"/>
                <w:u w:color="000000"/>
                <w:bdr w:val="nil"/>
                <w:lang w:val="uk-UA" w:eastAsia="en-US"/>
              </w:rPr>
            </w:pPr>
          </w:p>
        </w:tc>
        <w:tc>
          <w:tcPr>
            <w:tcW w:w="2410" w:type="dxa"/>
            <w:tcMar>
              <w:top w:w="0" w:type="dxa"/>
              <w:left w:w="108" w:type="dxa"/>
              <w:bottom w:w="0" w:type="dxa"/>
              <w:right w:w="108" w:type="dxa"/>
            </w:tcMar>
            <w:vAlign w:val="bottom"/>
          </w:tcPr>
          <w:p w:rsidR="00404857" w:rsidRPr="00404857" w:rsidRDefault="00404857" w:rsidP="00404857">
            <w:pPr>
              <w:pBdr>
                <w:top w:val="nil"/>
                <w:left w:val="nil"/>
                <w:bottom w:val="nil"/>
                <w:right w:val="nil"/>
                <w:between w:val="nil"/>
                <w:bar w:val="nil"/>
              </w:pBdr>
              <w:suppressAutoHyphens w:val="0"/>
              <w:autoSpaceDE w:val="0"/>
              <w:autoSpaceDN w:val="0"/>
              <w:ind w:left="-113"/>
              <w:jc w:val="right"/>
              <w:rPr>
                <w:rFonts w:eastAsia="Arial Unicode MS"/>
                <w:color w:val="000000"/>
                <w:u w:color="000000"/>
                <w:bdr w:val="nil"/>
                <w:lang w:val="uk-UA" w:eastAsia="ru-RU"/>
              </w:rPr>
            </w:pPr>
          </w:p>
        </w:tc>
      </w:tr>
    </w:tbl>
    <w:p w:rsidR="00404857" w:rsidRPr="00404857" w:rsidRDefault="00404857" w:rsidP="00404857">
      <w:pPr>
        <w:tabs>
          <w:tab w:val="left" w:pos="708"/>
        </w:tabs>
        <w:suppressAutoHyphens w:val="0"/>
        <w:spacing w:after="130"/>
        <w:jc w:val="both"/>
        <w:rPr>
          <w:lang w:val="uk-UA" w:eastAsia="en-US"/>
        </w:rPr>
      </w:pPr>
      <w:r w:rsidRPr="00404857">
        <w:rPr>
          <w:lang w:val="uk-UA" w:eastAsia="en-US"/>
        </w:rPr>
        <w:t xml:space="preserve">Прийняття до застосування цих нових і переглянутих стандартів та тлумачень не призвело до змін в обліковій політиці Компанії та сумах, відображених за поточний або попередні роки. </w:t>
      </w:r>
    </w:p>
    <w:p w:rsidR="00404857" w:rsidRPr="00404857" w:rsidRDefault="00404857" w:rsidP="00404857">
      <w:pPr>
        <w:suppressAutoHyphens w:val="0"/>
        <w:rPr>
          <w:b/>
          <w:color w:val="000000"/>
          <w:u w:color="000000"/>
          <w:bdr w:val="nil"/>
          <w:lang w:val="uk-UA" w:eastAsia="ru-RU"/>
        </w:rPr>
      </w:pPr>
      <w:bookmarkStart w:id="23" w:name="_Toc477126502"/>
      <w:bookmarkStart w:id="24" w:name="_Toc447841944"/>
      <w:r w:rsidRPr="00404857">
        <w:rPr>
          <w:b/>
          <w:color w:val="000000"/>
          <w:u w:color="000000"/>
          <w:bdr w:val="nil"/>
          <w:lang w:eastAsia="ru-RU"/>
        </w:rPr>
        <w:t>Стандарти і тлумачення випущені, але які ще не набули чинності</w:t>
      </w:r>
      <w:bookmarkEnd w:id="23"/>
      <w:bookmarkEnd w:id="24"/>
    </w:p>
    <w:p w:rsidR="00404857" w:rsidRPr="00404857" w:rsidRDefault="00404857" w:rsidP="00404857">
      <w:pPr>
        <w:pBdr>
          <w:top w:val="nil"/>
          <w:left w:val="nil"/>
          <w:bottom w:val="nil"/>
          <w:right w:val="nil"/>
          <w:between w:val="nil"/>
          <w:bar w:val="nil"/>
        </w:pBdr>
        <w:suppressAutoHyphens w:val="0"/>
        <w:rPr>
          <w:b/>
          <w:color w:val="000000"/>
          <w:u w:color="000000"/>
          <w:bdr w:val="nil"/>
          <w:lang w:eastAsia="ru-RU"/>
        </w:rPr>
      </w:pPr>
    </w:p>
    <w:p w:rsidR="00404857" w:rsidRPr="00404857" w:rsidRDefault="00404857" w:rsidP="00404857">
      <w:pPr>
        <w:tabs>
          <w:tab w:val="left" w:pos="708"/>
        </w:tabs>
        <w:suppressAutoHyphens w:val="0"/>
        <w:spacing w:after="130"/>
        <w:ind w:firstLine="567"/>
        <w:jc w:val="both"/>
        <w:rPr>
          <w:b/>
          <w:lang w:eastAsia="en-US"/>
        </w:rPr>
      </w:pPr>
      <w:r w:rsidRPr="00404857">
        <w:rPr>
          <w:lang w:val="uk-UA" w:eastAsia="en-US"/>
        </w:rPr>
        <w:t>Станом на дату затвердження цієї фінансової звітності такі стандарти та тлумачення, а також поправки до стандартів, були випущені, але ще не набули чинності стосовно звітного періоду:</w:t>
      </w:r>
    </w:p>
    <w:tbl>
      <w:tblPr>
        <w:tblW w:w="8931" w:type="dxa"/>
        <w:tblInd w:w="108" w:type="dxa"/>
        <w:tblCellMar>
          <w:left w:w="0" w:type="dxa"/>
          <w:right w:w="0" w:type="dxa"/>
        </w:tblCellMar>
        <w:tblLook w:val="04A0" w:firstRow="1" w:lastRow="0" w:firstColumn="1" w:lastColumn="0" w:noHBand="0" w:noVBand="1"/>
      </w:tblPr>
      <w:tblGrid>
        <w:gridCol w:w="6129"/>
        <w:gridCol w:w="2802"/>
      </w:tblGrid>
      <w:tr w:rsidR="00404857" w:rsidRPr="007D7D07" w:rsidTr="006A3E59">
        <w:trPr>
          <w:cantSplit/>
          <w:tblHeader/>
        </w:trPr>
        <w:tc>
          <w:tcPr>
            <w:tcW w:w="6129" w:type="dxa"/>
            <w:tcMar>
              <w:top w:w="0" w:type="dxa"/>
              <w:left w:w="108" w:type="dxa"/>
              <w:bottom w:w="0" w:type="dxa"/>
              <w:right w:w="108" w:type="dxa"/>
            </w:tcMar>
            <w:vAlign w:val="bottom"/>
            <w:hideMark/>
          </w:tcPr>
          <w:p w:rsidR="00404857" w:rsidRPr="00404857" w:rsidRDefault="00404857" w:rsidP="00404857">
            <w:pPr>
              <w:pBdr>
                <w:top w:val="nil"/>
                <w:left w:val="nil"/>
                <w:bottom w:val="nil"/>
                <w:right w:val="nil"/>
                <w:between w:val="nil"/>
                <w:bar w:val="nil"/>
              </w:pBdr>
              <w:suppressAutoHyphens w:val="0"/>
              <w:autoSpaceDE w:val="0"/>
              <w:autoSpaceDN w:val="0"/>
              <w:ind w:left="40" w:right="-108" w:hanging="142"/>
              <w:rPr>
                <w:rFonts w:eastAsia="Arial Unicode MS"/>
                <w:b/>
                <w:bCs/>
                <w:color w:val="000000"/>
                <w:u w:color="000000"/>
                <w:bdr w:val="nil"/>
                <w:lang w:val="uk-UA" w:eastAsia="en-GB"/>
              </w:rPr>
            </w:pPr>
            <w:r w:rsidRPr="00404857">
              <w:rPr>
                <w:rFonts w:eastAsia="Arial Unicode MS"/>
                <w:b/>
                <w:bCs/>
                <w:color w:val="000000"/>
                <w:u w:color="000000"/>
                <w:bdr w:val="nil"/>
                <w:lang w:val="uk-UA" w:eastAsia="en-GB"/>
              </w:rPr>
              <w:t>Стандарти і тлумачення</w:t>
            </w:r>
          </w:p>
        </w:tc>
        <w:tc>
          <w:tcPr>
            <w:tcW w:w="2802" w:type="dxa"/>
            <w:tcBorders>
              <w:top w:val="nil"/>
              <w:left w:val="nil"/>
              <w:bottom w:val="single" w:sz="8" w:space="0" w:color="auto"/>
              <w:right w:val="nil"/>
            </w:tcBorders>
            <w:tcMar>
              <w:top w:w="0" w:type="dxa"/>
              <w:left w:w="108" w:type="dxa"/>
              <w:bottom w:w="0" w:type="dxa"/>
              <w:right w:w="108" w:type="dxa"/>
            </w:tcMar>
            <w:vAlign w:val="bottom"/>
            <w:hideMark/>
          </w:tcPr>
          <w:p w:rsidR="00404857" w:rsidRPr="00404857" w:rsidRDefault="00404857" w:rsidP="00404857">
            <w:pPr>
              <w:pBdr>
                <w:top w:val="nil"/>
                <w:left w:val="nil"/>
                <w:bottom w:val="nil"/>
                <w:right w:val="nil"/>
                <w:between w:val="nil"/>
                <w:bar w:val="nil"/>
              </w:pBdr>
              <w:suppressAutoHyphens w:val="0"/>
              <w:autoSpaceDE w:val="0"/>
              <w:autoSpaceDN w:val="0"/>
              <w:ind w:left="-113" w:right="-113"/>
              <w:jc w:val="center"/>
              <w:rPr>
                <w:rFonts w:eastAsia="Arial Unicode MS"/>
                <w:b/>
                <w:bCs/>
                <w:color w:val="000000"/>
                <w:u w:color="000000"/>
                <w:bdr w:val="nil"/>
                <w:lang w:val="uk-UA" w:eastAsia="en-GB"/>
              </w:rPr>
            </w:pPr>
            <w:r w:rsidRPr="00404857">
              <w:rPr>
                <w:rFonts w:eastAsia="Arial Unicode MS"/>
                <w:b/>
                <w:bCs/>
                <w:color w:val="000000"/>
                <w:u w:color="000000"/>
                <w:bdr w:val="nil"/>
                <w:lang w:val="uk-UA" w:eastAsia="en-GB"/>
              </w:rPr>
              <w:t>Набувають чинності щодо річних облікових періодів, які починаються з або після</w:t>
            </w:r>
          </w:p>
        </w:tc>
      </w:tr>
      <w:tr w:rsidR="00404857" w:rsidRPr="007D7D07" w:rsidTr="006A3E59">
        <w:trPr>
          <w:cantSplit/>
          <w:tblHeader/>
        </w:trPr>
        <w:tc>
          <w:tcPr>
            <w:tcW w:w="6129" w:type="dxa"/>
            <w:tcMar>
              <w:top w:w="0" w:type="dxa"/>
              <w:left w:w="108" w:type="dxa"/>
              <w:bottom w:w="0" w:type="dxa"/>
              <w:right w:w="108" w:type="dxa"/>
            </w:tcMar>
            <w:vAlign w:val="bottom"/>
          </w:tcPr>
          <w:p w:rsidR="00404857" w:rsidRPr="00404857" w:rsidRDefault="00404857" w:rsidP="00404857">
            <w:pPr>
              <w:pBdr>
                <w:top w:val="nil"/>
                <w:left w:val="nil"/>
                <w:bottom w:val="nil"/>
                <w:right w:val="nil"/>
                <w:between w:val="nil"/>
                <w:bar w:val="nil"/>
              </w:pBdr>
              <w:suppressAutoHyphens w:val="0"/>
              <w:ind w:left="140" w:right="-45" w:hanging="210"/>
              <w:rPr>
                <w:rFonts w:eastAsia="Arial Unicode MS"/>
                <w:color w:val="000000"/>
                <w:u w:color="000000"/>
                <w:bdr w:val="nil"/>
                <w:lang w:val="uk-UA" w:eastAsia="en-US"/>
              </w:rPr>
            </w:pPr>
          </w:p>
        </w:tc>
        <w:tc>
          <w:tcPr>
            <w:tcW w:w="2802" w:type="dxa"/>
            <w:tcMar>
              <w:top w:w="0" w:type="dxa"/>
              <w:left w:w="108" w:type="dxa"/>
              <w:bottom w:w="0" w:type="dxa"/>
              <w:right w:w="108" w:type="dxa"/>
            </w:tcMar>
            <w:vAlign w:val="bottom"/>
          </w:tcPr>
          <w:p w:rsidR="00404857" w:rsidRPr="00404857" w:rsidRDefault="00404857" w:rsidP="00404857">
            <w:pPr>
              <w:pBdr>
                <w:top w:val="nil"/>
                <w:left w:val="nil"/>
                <w:bottom w:val="nil"/>
                <w:right w:val="nil"/>
                <w:between w:val="nil"/>
                <w:bar w:val="nil"/>
              </w:pBdr>
              <w:suppressAutoHyphens w:val="0"/>
              <w:ind w:left="140" w:right="-45" w:hanging="140"/>
              <w:jc w:val="center"/>
              <w:rPr>
                <w:rFonts w:eastAsia="Arial Unicode MS"/>
                <w:color w:val="000000"/>
                <w:u w:color="000000"/>
                <w:bdr w:val="nil"/>
                <w:lang w:val="uk-UA" w:eastAsia="ru-RU"/>
              </w:rPr>
            </w:pPr>
          </w:p>
        </w:tc>
      </w:tr>
      <w:tr w:rsidR="00404857" w:rsidRPr="00404857" w:rsidTr="006A3E59">
        <w:trPr>
          <w:tblHeader/>
        </w:trPr>
        <w:tc>
          <w:tcPr>
            <w:tcW w:w="6129" w:type="dxa"/>
            <w:tcMar>
              <w:top w:w="0" w:type="dxa"/>
              <w:left w:w="108" w:type="dxa"/>
              <w:bottom w:w="0" w:type="dxa"/>
              <w:right w:w="108" w:type="dxa"/>
            </w:tcMar>
            <w:vAlign w:val="bottom"/>
            <w:hideMark/>
          </w:tcPr>
          <w:p w:rsidR="00404857" w:rsidRPr="00404857" w:rsidRDefault="00404857" w:rsidP="00404857">
            <w:pPr>
              <w:pBdr>
                <w:top w:val="nil"/>
                <w:left w:val="nil"/>
                <w:bottom w:val="nil"/>
                <w:right w:val="nil"/>
                <w:between w:val="nil"/>
                <w:bar w:val="nil"/>
              </w:pBdr>
              <w:suppressAutoHyphens w:val="0"/>
              <w:autoSpaceDE w:val="0"/>
              <w:autoSpaceDN w:val="0"/>
              <w:ind w:left="-82" w:right="-108"/>
              <w:rPr>
                <w:rFonts w:eastAsia="Arial Unicode MS"/>
                <w:color w:val="000000"/>
                <w:u w:color="000000"/>
                <w:bdr w:val="nil"/>
                <w:lang w:val="uk-UA" w:eastAsia="ru-RU"/>
              </w:rPr>
            </w:pPr>
            <w:r w:rsidRPr="00404857">
              <w:rPr>
                <w:rFonts w:eastAsia="Arial Unicode MS"/>
                <w:color w:val="000000"/>
                <w:u w:color="000000"/>
                <w:bdr w:val="nil"/>
                <w:lang w:val="uk-UA" w:eastAsia="ru-RU"/>
              </w:rPr>
              <w:t>МСФЗ (IFRS) 9 «Фінансові інструменти»</w:t>
            </w:r>
          </w:p>
        </w:tc>
        <w:tc>
          <w:tcPr>
            <w:tcW w:w="2802" w:type="dxa"/>
            <w:tcMar>
              <w:top w:w="0" w:type="dxa"/>
              <w:left w:w="108" w:type="dxa"/>
              <w:bottom w:w="0" w:type="dxa"/>
              <w:right w:w="108" w:type="dxa"/>
            </w:tcMar>
            <w:vAlign w:val="center"/>
            <w:hideMark/>
          </w:tcPr>
          <w:p w:rsidR="00404857" w:rsidRPr="00404857" w:rsidRDefault="00404857" w:rsidP="00404857">
            <w:pPr>
              <w:pBdr>
                <w:top w:val="nil"/>
                <w:left w:val="nil"/>
                <w:bottom w:val="nil"/>
                <w:right w:val="nil"/>
                <w:between w:val="nil"/>
                <w:bar w:val="nil"/>
              </w:pBdr>
              <w:suppressAutoHyphens w:val="0"/>
              <w:ind w:left="140" w:hanging="140"/>
              <w:jc w:val="right"/>
              <w:rPr>
                <w:rFonts w:eastAsia="Arial Unicode MS"/>
                <w:color w:val="000000"/>
                <w:u w:color="000000"/>
                <w:bdr w:val="nil"/>
                <w:lang w:val="uk-UA" w:eastAsia="ru-RU"/>
              </w:rPr>
            </w:pPr>
            <w:r w:rsidRPr="00404857">
              <w:rPr>
                <w:rFonts w:eastAsia="Arial Unicode MS"/>
                <w:color w:val="000000"/>
                <w:u w:color="000000"/>
                <w:bdr w:val="nil"/>
                <w:lang w:val="uk-UA" w:eastAsia="ru-RU"/>
              </w:rPr>
              <w:t>1 січня 2018 року</w:t>
            </w:r>
          </w:p>
        </w:tc>
      </w:tr>
      <w:tr w:rsidR="00404857" w:rsidRPr="00404857" w:rsidTr="006A3E59">
        <w:trPr>
          <w:tblHeader/>
        </w:trPr>
        <w:tc>
          <w:tcPr>
            <w:tcW w:w="6129" w:type="dxa"/>
            <w:tcMar>
              <w:top w:w="0" w:type="dxa"/>
              <w:left w:w="108" w:type="dxa"/>
              <w:bottom w:w="0" w:type="dxa"/>
              <w:right w:w="108" w:type="dxa"/>
            </w:tcMar>
            <w:vAlign w:val="bottom"/>
            <w:hideMark/>
          </w:tcPr>
          <w:p w:rsidR="00404857" w:rsidRPr="00404857" w:rsidRDefault="00404857" w:rsidP="00404857">
            <w:pPr>
              <w:pBdr>
                <w:top w:val="nil"/>
                <w:left w:val="nil"/>
                <w:bottom w:val="nil"/>
                <w:right w:val="nil"/>
                <w:between w:val="nil"/>
                <w:bar w:val="nil"/>
              </w:pBdr>
              <w:suppressAutoHyphens w:val="0"/>
              <w:autoSpaceDE w:val="0"/>
              <w:autoSpaceDN w:val="0"/>
              <w:ind w:left="-82" w:right="-108"/>
              <w:rPr>
                <w:rFonts w:eastAsia="Arial Unicode MS"/>
                <w:color w:val="000000"/>
                <w:u w:color="000000"/>
                <w:bdr w:val="nil"/>
                <w:lang w:val="uk-UA" w:eastAsia="ru-RU"/>
              </w:rPr>
            </w:pPr>
            <w:r w:rsidRPr="00404857">
              <w:rPr>
                <w:rFonts w:eastAsia="Arial Unicode MS"/>
                <w:color w:val="000000"/>
                <w:u w:color="000000"/>
                <w:bdr w:val="nil"/>
                <w:lang w:val="uk-UA" w:eastAsia="ru-RU"/>
              </w:rPr>
              <w:t>МСФЗ (IFRS) 15 «Виручка за договорами з покупцями»</w:t>
            </w:r>
          </w:p>
        </w:tc>
        <w:tc>
          <w:tcPr>
            <w:tcW w:w="2802" w:type="dxa"/>
            <w:tcMar>
              <w:top w:w="0" w:type="dxa"/>
              <w:left w:w="108" w:type="dxa"/>
              <w:bottom w:w="0" w:type="dxa"/>
              <w:right w:w="108" w:type="dxa"/>
            </w:tcMar>
            <w:vAlign w:val="center"/>
            <w:hideMark/>
          </w:tcPr>
          <w:p w:rsidR="00404857" w:rsidRPr="00404857" w:rsidRDefault="00404857" w:rsidP="00404857">
            <w:pPr>
              <w:pBdr>
                <w:top w:val="nil"/>
                <w:left w:val="nil"/>
                <w:bottom w:val="nil"/>
                <w:right w:val="nil"/>
                <w:between w:val="nil"/>
                <w:bar w:val="nil"/>
              </w:pBdr>
              <w:suppressAutoHyphens w:val="0"/>
              <w:ind w:left="140" w:hanging="140"/>
              <w:jc w:val="right"/>
              <w:rPr>
                <w:rFonts w:eastAsia="Arial Unicode MS"/>
                <w:color w:val="000000"/>
                <w:u w:color="000000"/>
                <w:bdr w:val="nil"/>
                <w:lang w:val="uk-UA" w:eastAsia="ru-RU"/>
              </w:rPr>
            </w:pPr>
            <w:r w:rsidRPr="00404857">
              <w:rPr>
                <w:rFonts w:eastAsia="Arial Unicode MS"/>
                <w:color w:val="000000"/>
                <w:u w:color="000000"/>
                <w:bdr w:val="nil"/>
                <w:lang w:val="uk-UA" w:eastAsia="ru-RU"/>
              </w:rPr>
              <w:t>1 січня 201</w:t>
            </w:r>
            <w:r w:rsidRPr="00404857">
              <w:rPr>
                <w:rFonts w:eastAsia="Arial Unicode MS"/>
                <w:color w:val="000000"/>
                <w:u w:color="000000"/>
                <w:bdr w:val="nil"/>
                <w:lang w:eastAsia="ru-RU"/>
              </w:rPr>
              <w:t>8</w:t>
            </w:r>
            <w:r w:rsidRPr="00404857">
              <w:rPr>
                <w:rFonts w:eastAsia="Arial Unicode MS"/>
                <w:color w:val="000000"/>
                <w:u w:color="000000"/>
                <w:bdr w:val="nil"/>
                <w:lang w:val="uk-UA" w:eastAsia="ru-RU"/>
              </w:rPr>
              <w:t xml:space="preserve"> року</w:t>
            </w:r>
          </w:p>
        </w:tc>
      </w:tr>
      <w:tr w:rsidR="00404857" w:rsidRPr="00404857" w:rsidTr="006A3E59">
        <w:trPr>
          <w:tblHeader/>
        </w:trPr>
        <w:tc>
          <w:tcPr>
            <w:tcW w:w="6129" w:type="dxa"/>
            <w:tcMar>
              <w:top w:w="0" w:type="dxa"/>
              <w:left w:w="108" w:type="dxa"/>
              <w:bottom w:w="0" w:type="dxa"/>
              <w:right w:w="108" w:type="dxa"/>
            </w:tcMar>
            <w:vAlign w:val="bottom"/>
            <w:hideMark/>
          </w:tcPr>
          <w:p w:rsidR="00404857" w:rsidRPr="00404857" w:rsidRDefault="00404857" w:rsidP="00404857">
            <w:pPr>
              <w:pBdr>
                <w:top w:val="nil"/>
                <w:left w:val="nil"/>
                <w:bottom w:val="nil"/>
                <w:right w:val="nil"/>
                <w:between w:val="nil"/>
                <w:bar w:val="nil"/>
              </w:pBdr>
              <w:suppressAutoHyphens w:val="0"/>
              <w:autoSpaceDE w:val="0"/>
              <w:autoSpaceDN w:val="0"/>
              <w:ind w:left="-82" w:right="-108"/>
              <w:rPr>
                <w:rFonts w:eastAsia="Arial Unicode MS"/>
                <w:color w:val="000000"/>
                <w:u w:color="000000"/>
                <w:bdr w:val="nil"/>
                <w:lang w:val="uk-UA" w:eastAsia="ru-RU"/>
              </w:rPr>
            </w:pPr>
            <w:r w:rsidRPr="00404857">
              <w:rPr>
                <w:rFonts w:eastAsia="Arial Unicode MS"/>
                <w:color w:val="000000"/>
                <w:u w:color="000000"/>
                <w:bdr w:val="nil"/>
                <w:lang w:val="uk-UA" w:eastAsia="ru-RU"/>
              </w:rPr>
              <w:t>МСФЗ (IFRS) 16 «Оренда»</w:t>
            </w:r>
          </w:p>
        </w:tc>
        <w:tc>
          <w:tcPr>
            <w:tcW w:w="2802" w:type="dxa"/>
            <w:tcMar>
              <w:top w:w="0" w:type="dxa"/>
              <w:left w:w="108" w:type="dxa"/>
              <w:bottom w:w="0" w:type="dxa"/>
              <w:right w:w="108" w:type="dxa"/>
            </w:tcMar>
            <w:vAlign w:val="center"/>
            <w:hideMark/>
          </w:tcPr>
          <w:p w:rsidR="00404857" w:rsidRPr="00404857" w:rsidRDefault="00404857" w:rsidP="00404857">
            <w:pPr>
              <w:pBdr>
                <w:top w:val="nil"/>
                <w:left w:val="nil"/>
                <w:bottom w:val="nil"/>
                <w:right w:val="nil"/>
                <w:between w:val="nil"/>
                <w:bar w:val="nil"/>
              </w:pBdr>
              <w:suppressAutoHyphens w:val="0"/>
              <w:ind w:left="140" w:hanging="140"/>
              <w:jc w:val="right"/>
              <w:rPr>
                <w:rFonts w:eastAsia="Arial Unicode MS"/>
                <w:color w:val="000000"/>
                <w:u w:color="000000"/>
                <w:bdr w:val="nil"/>
                <w:lang w:val="uk-UA" w:eastAsia="ru-RU"/>
              </w:rPr>
            </w:pPr>
            <w:r w:rsidRPr="00404857">
              <w:rPr>
                <w:rFonts w:eastAsia="Arial Unicode MS"/>
                <w:color w:val="000000"/>
                <w:u w:color="000000"/>
                <w:bdr w:val="nil"/>
                <w:lang w:val="uk-UA" w:eastAsia="ru-RU"/>
              </w:rPr>
              <w:t>1 січня 2019 року</w:t>
            </w:r>
          </w:p>
        </w:tc>
      </w:tr>
      <w:tr w:rsidR="00404857" w:rsidRPr="00404857" w:rsidTr="006A3E59">
        <w:trPr>
          <w:trHeight w:val="260"/>
          <w:tblHeader/>
        </w:trPr>
        <w:tc>
          <w:tcPr>
            <w:tcW w:w="6129" w:type="dxa"/>
            <w:tcMar>
              <w:top w:w="0" w:type="dxa"/>
              <w:left w:w="108" w:type="dxa"/>
              <w:bottom w:w="0" w:type="dxa"/>
              <w:right w:w="108" w:type="dxa"/>
            </w:tcMar>
            <w:vAlign w:val="bottom"/>
            <w:hideMark/>
          </w:tcPr>
          <w:p w:rsidR="00404857" w:rsidRPr="00404857" w:rsidRDefault="00404857" w:rsidP="00404857">
            <w:pPr>
              <w:pBdr>
                <w:top w:val="nil"/>
                <w:left w:val="nil"/>
                <w:bottom w:val="nil"/>
                <w:right w:val="nil"/>
                <w:between w:val="nil"/>
                <w:bar w:val="nil"/>
              </w:pBdr>
              <w:suppressAutoHyphens w:val="0"/>
              <w:autoSpaceDE w:val="0"/>
              <w:autoSpaceDN w:val="0"/>
              <w:ind w:left="-82" w:right="-108"/>
              <w:rPr>
                <w:rFonts w:eastAsia="Arial Unicode MS"/>
                <w:color w:val="000000"/>
                <w:u w:color="000000"/>
                <w:bdr w:val="nil"/>
                <w:lang w:val="uk-UA" w:eastAsia="ru-RU"/>
              </w:rPr>
            </w:pPr>
            <w:r w:rsidRPr="00404857">
              <w:rPr>
                <w:rFonts w:eastAsia="Arial Unicode MS"/>
                <w:color w:val="000000"/>
                <w:u w:color="000000"/>
                <w:bdr w:val="nil"/>
                <w:lang w:val="uk-UA" w:eastAsia="ru-RU"/>
              </w:rPr>
              <w:t>Поправки до МСФЗ (IFRS) 4 «Застосування МСФЗ (IFRS) 9 «Фінансові інструменти» з МСФЗ (IFRS) 4 «Страхові контракти»</w:t>
            </w:r>
          </w:p>
        </w:tc>
        <w:tc>
          <w:tcPr>
            <w:tcW w:w="2802" w:type="dxa"/>
            <w:tcMar>
              <w:top w:w="0" w:type="dxa"/>
              <w:left w:w="108" w:type="dxa"/>
              <w:bottom w:w="0" w:type="dxa"/>
              <w:right w:w="108" w:type="dxa"/>
            </w:tcMar>
            <w:vAlign w:val="center"/>
            <w:hideMark/>
          </w:tcPr>
          <w:p w:rsidR="00404857" w:rsidRPr="00404857" w:rsidRDefault="00404857" w:rsidP="00404857">
            <w:pPr>
              <w:pBdr>
                <w:top w:val="nil"/>
                <w:left w:val="nil"/>
                <w:bottom w:val="nil"/>
                <w:right w:val="nil"/>
                <w:between w:val="nil"/>
                <w:bar w:val="nil"/>
              </w:pBdr>
              <w:suppressAutoHyphens w:val="0"/>
              <w:ind w:left="140" w:hanging="140"/>
              <w:jc w:val="right"/>
              <w:rPr>
                <w:rFonts w:eastAsia="Arial Unicode MS"/>
                <w:color w:val="000000"/>
                <w:u w:color="000000"/>
                <w:bdr w:val="nil"/>
                <w:lang w:val="uk-UA" w:eastAsia="ru-RU"/>
              </w:rPr>
            </w:pPr>
            <w:r w:rsidRPr="00404857">
              <w:rPr>
                <w:rFonts w:eastAsia="Arial Unicode MS"/>
                <w:color w:val="000000"/>
                <w:u w:color="000000"/>
                <w:bdr w:val="nil"/>
                <w:lang w:val="uk-UA" w:eastAsia="ru-RU"/>
              </w:rPr>
              <w:t>1 січня 2018 року</w:t>
            </w:r>
          </w:p>
        </w:tc>
      </w:tr>
      <w:tr w:rsidR="00404857" w:rsidRPr="00404857" w:rsidTr="006A3E59">
        <w:trPr>
          <w:trHeight w:val="260"/>
          <w:tblHeader/>
        </w:trPr>
        <w:tc>
          <w:tcPr>
            <w:tcW w:w="6129" w:type="dxa"/>
            <w:tcMar>
              <w:top w:w="0" w:type="dxa"/>
              <w:left w:w="108" w:type="dxa"/>
              <w:bottom w:w="0" w:type="dxa"/>
              <w:right w:w="108" w:type="dxa"/>
            </w:tcMar>
            <w:vAlign w:val="bottom"/>
            <w:hideMark/>
          </w:tcPr>
          <w:p w:rsidR="00404857" w:rsidRPr="00404857" w:rsidRDefault="00404857" w:rsidP="00404857">
            <w:pPr>
              <w:pBdr>
                <w:top w:val="nil"/>
                <w:left w:val="nil"/>
                <w:bottom w:val="nil"/>
                <w:right w:val="nil"/>
                <w:between w:val="nil"/>
                <w:bar w:val="nil"/>
              </w:pBdr>
              <w:suppressAutoHyphens w:val="0"/>
              <w:autoSpaceDE w:val="0"/>
              <w:autoSpaceDN w:val="0"/>
              <w:ind w:right="-108"/>
              <w:rPr>
                <w:rFonts w:eastAsia="Arial Unicode MS"/>
                <w:color w:val="000000"/>
                <w:u w:color="000000"/>
                <w:bdr w:val="nil"/>
                <w:lang w:val="uk-UA" w:eastAsia="ru-RU"/>
              </w:rPr>
            </w:pPr>
            <w:r w:rsidRPr="00404857">
              <w:rPr>
                <w:rFonts w:eastAsia="Arial Unicode MS"/>
                <w:color w:val="000000"/>
                <w:u w:color="000000"/>
                <w:bdr w:val="nil"/>
                <w:lang w:val="uk-UA" w:eastAsia="ru-RU"/>
              </w:rPr>
              <w:t>(Удосконалення до МСФЗ (IFRS) 12, МСФЗ (IFRS) 1, МСФЗ (IAS) 28)</w:t>
            </w:r>
          </w:p>
        </w:tc>
        <w:tc>
          <w:tcPr>
            <w:tcW w:w="2802" w:type="dxa"/>
            <w:tcMar>
              <w:top w:w="0" w:type="dxa"/>
              <w:left w:w="108" w:type="dxa"/>
              <w:bottom w:w="0" w:type="dxa"/>
              <w:right w:w="108" w:type="dxa"/>
            </w:tcMar>
            <w:vAlign w:val="center"/>
            <w:hideMark/>
          </w:tcPr>
          <w:p w:rsidR="00404857" w:rsidRPr="00404857" w:rsidRDefault="00404857" w:rsidP="00404857">
            <w:pPr>
              <w:pBdr>
                <w:top w:val="nil"/>
                <w:left w:val="nil"/>
                <w:bottom w:val="nil"/>
                <w:right w:val="nil"/>
                <w:between w:val="nil"/>
                <w:bar w:val="nil"/>
              </w:pBdr>
              <w:suppressAutoHyphens w:val="0"/>
              <w:ind w:left="140" w:hanging="140"/>
              <w:jc w:val="right"/>
              <w:rPr>
                <w:rFonts w:eastAsia="Arial Unicode MS"/>
                <w:color w:val="000000"/>
                <w:u w:color="000000"/>
                <w:bdr w:val="nil"/>
                <w:lang w:val="uk-UA" w:eastAsia="ru-RU"/>
              </w:rPr>
            </w:pPr>
            <w:r w:rsidRPr="00404857">
              <w:rPr>
                <w:rFonts w:eastAsia="Arial Unicode MS"/>
                <w:color w:val="000000"/>
                <w:u w:color="000000"/>
                <w:bdr w:val="nil"/>
                <w:lang w:val="uk-UA" w:eastAsia="ru-RU"/>
              </w:rPr>
              <w:t>1 січня 2018 року</w:t>
            </w:r>
          </w:p>
        </w:tc>
      </w:tr>
      <w:tr w:rsidR="00404857" w:rsidRPr="00404857" w:rsidTr="006A3E59">
        <w:trPr>
          <w:trHeight w:val="260"/>
          <w:tblHeader/>
        </w:trPr>
        <w:tc>
          <w:tcPr>
            <w:tcW w:w="6129" w:type="dxa"/>
            <w:tcMar>
              <w:top w:w="0" w:type="dxa"/>
              <w:left w:w="108" w:type="dxa"/>
              <w:bottom w:w="0" w:type="dxa"/>
              <w:right w:w="108" w:type="dxa"/>
            </w:tcMar>
            <w:vAlign w:val="bottom"/>
          </w:tcPr>
          <w:p w:rsidR="00404857" w:rsidRPr="00404857" w:rsidRDefault="00404857" w:rsidP="00404857">
            <w:pPr>
              <w:pBdr>
                <w:top w:val="nil"/>
                <w:left w:val="nil"/>
                <w:bottom w:val="nil"/>
                <w:right w:val="nil"/>
                <w:between w:val="nil"/>
                <w:bar w:val="nil"/>
              </w:pBdr>
              <w:suppressAutoHyphens w:val="0"/>
              <w:autoSpaceDE w:val="0"/>
              <w:autoSpaceDN w:val="0"/>
              <w:ind w:left="-82" w:right="-108"/>
              <w:rPr>
                <w:rFonts w:ascii="Arial" w:eastAsia="Arial Unicode MS" w:hAnsi="Arial" w:cs="Arial"/>
                <w:color w:val="000000"/>
                <w:sz w:val="20"/>
                <w:szCs w:val="20"/>
                <w:u w:color="000000"/>
                <w:bdr w:val="nil"/>
                <w:lang w:val="uk-UA" w:eastAsia="ru-RU"/>
              </w:rPr>
            </w:pPr>
          </w:p>
        </w:tc>
        <w:tc>
          <w:tcPr>
            <w:tcW w:w="2802" w:type="dxa"/>
            <w:tcMar>
              <w:top w:w="0" w:type="dxa"/>
              <w:left w:w="108" w:type="dxa"/>
              <w:bottom w:w="0" w:type="dxa"/>
              <w:right w:w="108" w:type="dxa"/>
            </w:tcMar>
            <w:vAlign w:val="center"/>
          </w:tcPr>
          <w:p w:rsidR="00404857" w:rsidRPr="00404857" w:rsidRDefault="00404857" w:rsidP="00404857">
            <w:pPr>
              <w:pBdr>
                <w:top w:val="nil"/>
                <w:left w:val="nil"/>
                <w:bottom w:val="nil"/>
                <w:right w:val="nil"/>
                <w:between w:val="nil"/>
                <w:bar w:val="nil"/>
              </w:pBdr>
              <w:suppressAutoHyphens w:val="0"/>
              <w:ind w:left="140" w:hanging="140"/>
              <w:jc w:val="right"/>
              <w:rPr>
                <w:rFonts w:ascii="Arial" w:eastAsia="Arial Unicode MS" w:hAnsi="Arial" w:cs="Arial"/>
                <w:color w:val="000000"/>
                <w:sz w:val="20"/>
                <w:szCs w:val="20"/>
                <w:u w:color="000000"/>
                <w:bdr w:val="nil"/>
                <w:lang w:val="uk-UA" w:eastAsia="ru-RU"/>
              </w:rPr>
            </w:pPr>
          </w:p>
        </w:tc>
      </w:tr>
    </w:tbl>
    <w:p w:rsidR="00404857" w:rsidRPr="00404857" w:rsidRDefault="00404857" w:rsidP="00404857">
      <w:pPr>
        <w:pBdr>
          <w:top w:val="nil"/>
          <w:left w:val="nil"/>
          <w:bottom w:val="nil"/>
          <w:right w:val="nil"/>
          <w:between w:val="nil"/>
          <w:bar w:val="nil"/>
        </w:pBdr>
        <w:suppressAutoHyphens w:val="0"/>
        <w:ind w:firstLine="567"/>
        <w:outlineLvl w:val="1"/>
        <w:rPr>
          <w:rFonts w:ascii="Arial" w:eastAsia="Arial Unicode MS" w:hAnsi="Arial" w:cs="Arial Unicode MS"/>
          <w:b/>
          <w:bCs/>
          <w:u w:color="000000"/>
          <w:bdr w:val="nil"/>
          <w:lang w:val="uk-UA" w:eastAsia="ru-RU"/>
        </w:rPr>
      </w:pPr>
      <w:r w:rsidRPr="00404857">
        <w:rPr>
          <w:rFonts w:ascii="Arial" w:eastAsia="Arial Unicode MS" w:hAnsi="Arial" w:cs="Arial"/>
          <w:sz w:val="20"/>
          <w:u w:color="000000"/>
          <w:bdr w:val="nil"/>
          <w:lang w:val="uk-UA" w:eastAsia="ru-RU"/>
        </w:rPr>
        <w:t xml:space="preserve">Наразі керівництво Компанії здійснює оцінку впливу застосування цих поправок та стандартів на майбутні фінансові звітності Компанії. </w:t>
      </w:r>
      <w:r w:rsidRPr="00404857">
        <w:rPr>
          <w:rFonts w:eastAsia="Arial Unicode MS"/>
          <w:i/>
          <w:iCs/>
          <w:sz w:val="22"/>
          <w:szCs w:val="22"/>
          <w:u w:color="000000"/>
          <w:bdr w:val="nil"/>
          <w:lang w:val="uk-UA" w:eastAsia="ru-RU"/>
        </w:rPr>
        <w:t>В цей перелік включені стандарти, інтерпретації та роз'яснення, які потенційно можуть впливати на розкриття інформації, фінансовий стан або фінансові показники Товариства.</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i/>
          <w:iCs/>
          <w:sz w:val="22"/>
          <w:szCs w:val="22"/>
          <w:u w:color="000000"/>
          <w:bdr w:val="nil"/>
          <w:lang w:val="uk-UA" w:eastAsia="ru-RU"/>
        </w:rPr>
      </w:pPr>
      <w:r w:rsidRPr="00404857">
        <w:rPr>
          <w:rFonts w:eastAsia="Arial Unicode MS"/>
          <w:i/>
          <w:iCs/>
          <w:sz w:val="22"/>
          <w:szCs w:val="22"/>
          <w:u w:color="000000"/>
          <w:bdr w:val="nil"/>
          <w:lang w:val="uk-UA" w:eastAsia="ru-RU"/>
        </w:rPr>
        <w:t xml:space="preserve">   - МСФЗ (IFRS) 9 «Фінансові інструменти»</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sz w:val="22"/>
          <w:szCs w:val="22"/>
          <w:u w:color="000000"/>
          <w:bdr w:val="nil"/>
          <w:lang w:val="uk-UA" w:eastAsia="ru-RU"/>
        </w:rPr>
      </w:pPr>
      <w:r w:rsidRPr="00404857">
        <w:rPr>
          <w:rFonts w:eastAsia="Arial Unicode MS"/>
          <w:sz w:val="22"/>
          <w:szCs w:val="22"/>
          <w:u w:color="000000"/>
          <w:bdr w:val="nil"/>
          <w:lang w:val="uk-UA" w:eastAsia="ru-RU"/>
        </w:rPr>
        <w:t xml:space="preserve"> У липні 2014 Рада з МСФЗ випустила остаточну редакцію МСФЗ (IFRS) 9 «Фінансові інструменти», яка відображає результати всіх етапів проекту за фінансовими інструментами і замінює МСФЗ (IFRS) 39 «Фінансові інструменти: визнання та оцінка» і всі попередні редакції МСФЗ (IFRS) 9. Стандарт вводить нові вимоги щодо класифікації та оцінки(вимірювання), знецінення та обліку хеджування. Стандарт застосовується ретроспективно, але надання порівняльної інформації не є обов'язковим. Застосування МСФЗ (IFRS) 9 зробить вплив на класифікацію та оцінку фінансових активів Товариства, але не зробить вплив на класифікацію та оцінку фінансових зобов'язань.  Набувають чинності для річних періодів, які починаються з або після 1 січня 2018 року, дозволяється дострокове застосування. </w:t>
      </w:r>
      <w:r w:rsidRPr="00404857">
        <w:rPr>
          <w:rFonts w:eastAsia="Arial Unicode MS"/>
          <w:sz w:val="22"/>
          <w:szCs w:val="22"/>
          <w:u w:val="single" w:color="000000"/>
          <w:bdr w:val="nil"/>
          <w:lang w:val="uk-UA" w:eastAsia="ru-RU"/>
        </w:rPr>
        <w:t>В даний час Товариство оцінює вплив МСФЗ (IFRS) 9  і планує застосувати новий стандарт на відповідну дату вступу в силу.</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i/>
          <w:iCs/>
          <w:sz w:val="22"/>
          <w:szCs w:val="22"/>
          <w:u w:color="000000"/>
          <w:bdr w:val="nil"/>
          <w:lang w:val="uk-UA" w:eastAsia="ru-RU"/>
        </w:rPr>
      </w:pPr>
      <w:r w:rsidRPr="00404857">
        <w:rPr>
          <w:rFonts w:eastAsia="Arial Unicode MS"/>
          <w:i/>
          <w:iCs/>
          <w:sz w:val="22"/>
          <w:szCs w:val="22"/>
          <w:u w:color="000000"/>
          <w:bdr w:val="nil"/>
          <w:lang w:val="uk-UA" w:eastAsia="ru-RU"/>
        </w:rPr>
        <w:lastRenderedPageBreak/>
        <w:t>- МСФЗ (IFRS) 15 «Виручка за договорами з клієнтами»</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sz w:val="22"/>
          <w:szCs w:val="22"/>
          <w:u w:val="single" w:color="000000"/>
          <w:bdr w:val="nil"/>
          <w:lang w:val="uk-UA" w:eastAsia="ru-RU"/>
        </w:rPr>
      </w:pPr>
      <w:r w:rsidRPr="00404857">
        <w:rPr>
          <w:rFonts w:eastAsia="Arial Unicode MS"/>
          <w:sz w:val="22"/>
          <w:szCs w:val="22"/>
          <w:u w:color="000000"/>
          <w:bdr w:val="nil"/>
          <w:lang w:val="uk-UA" w:eastAsia="ru-RU"/>
        </w:rPr>
        <w:t xml:space="preserve">МСФЗ (IFRS) 15 був випущений в травні 2014 і передбачає нову модель, що включає п'ять етапів, яка буде застосовуватися  щодо виручки за договорами з клієнтами: 1) визначити наявність контракту з клієнтом, 2) визначити зобов’язання по виконанню контракту, 3) визначити ціну операції, 4) розподілити контрактну ціну, 5) визнати дохід, коли контрактне зобов’язання виявиться задоволеним.   Згідно МСФЗ (IFRS) 15 виручка визнається за сумою, яка відображає відшкодування, право на яке організація очікує отримати в обмін на передачу товарів або послуг клієнту. Принципи МСФЗ (IFRS) 15 передбачають більш структурований  підхід до оцінки і визнання виручки. Новий стандарт по виручці застосовується щодо всіх організацій і замінить всі діючі вимоги до визнання виручки згідно з МСФЗ. Одночасно з набранням чинності МСФЗ 15 будуть скасовані МСБО 11 «Будівельні контракти» та МСБО 18 «Дохід». Стандарт застосовується до річних звітних періодів, що починаються з  або після 1 січня 2017 року, ретроспективно в повному обсязі або з використанням модифікованого ретроспективного підходу, при цьому допускається дострокове застосування. </w:t>
      </w:r>
      <w:r w:rsidRPr="00404857">
        <w:rPr>
          <w:rFonts w:eastAsia="Arial Unicode MS"/>
          <w:sz w:val="22"/>
          <w:szCs w:val="22"/>
          <w:u w:val="single" w:color="000000"/>
          <w:bdr w:val="nil"/>
          <w:lang w:val="uk-UA" w:eastAsia="ru-RU"/>
        </w:rPr>
        <w:t>В даний час Товариство оцінило вплив МСФЗ (IFRS) 15  і планує застосувати новий стандарт на відповідну дату вступу в силу.</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sz w:val="22"/>
          <w:szCs w:val="22"/>
          <w:u w:color="000000"/>
          <w:bdr w:val="nil"/>
          <w:lang w:val="uk-UA" w:eastAsia="ru-RU"/>
        </w:rPr>
      </w:pPr>
      <w:r w:rsidRPr="00404857">
        <w:rPr>
          <w:sz w:val="22"/>
          <w:szCs w:val="22"/>
          <w:u w:val="single" w:color="000000"/>
          <w:bdr w:val="nil"/>
          <w:lang w:val="uk-UA" w:eastAsia="ru-RU"/>
        </w:rPr>
        <w:t xml:space="preserve">В даний час керівництво здійснює оцінку впливу від прийняття до застосування МСФЗ 9 «Фінансові інструменти» та МСФЗ 15 «Виручка за контрактами з клієнтами». </w:t>
      </w:r>
      <w:r w:rsidRPr="00404857">
        <w:rPr>
          <w:sz w:val="22"/>
          <w:szCs w:val="22"/>
          <w:u w:color="000000"/>
          <w:bdr w:val="nil"/>
          <w:lang w:val="uk-UA" w:eastAsia="ru-RU"/>
        </w:rPr>
        <w:t xml:space="preserve">Щодо інших стандартів та тлумачень, то, за оцінками керівництва, їх прийняття до застосування у майбутніх періодах </w:t>
      </w:r>
      <w:r w:rsidRPr="00404857">
        <w:rPr>
          <w:bCs/>
          <w:sz w:val="22"/>
          <w:szCs w:val="22"/>
          <w:u w:color="000000"/>
          <w:bdr w:val="nil"/>
          <w:lang w:val="uk-UA" w:eastAsia="ru-RU"/>
        </w:rPr>
        <w:t>не завдасть суттєвого впливу</w:t>
      </w:r>
      <w:r w:rsidRPr="00404857">
        <w:rPr>
          <w:sz w:val="22"/>
          <w:szCs w:val="22"/>
          <w:u w:color="000000"/>
          <w:bdr w:val="nil"/>
          <w:lang w:val="uk-UA" w:eastAsia="ru-RU"/>
        </w:rPr>
        <w:t xml:space="preserve"> на фінансову звітність Товариства.</w:t>
      </w:r>
    </w:p>
    <w:p w:rsidR="00404857" w:rsidRPr="00404857" w:rsidRDefault="00404857" w:rsidP="00404857">
      <w:pPr>
        <w:pBdr>
          <w:top w:val="nil"/>
          <w:left w:val="nil"/>
          <w:bottom w:val="nil"/>
          <w:right w:val="nil"/>
          <w:between w:val="nil"/>
          <w:bar w:val="nil"/>
        </w:pBdr>
        <w:tabs>
          <w:tab w:val="left" w:pos="993"/>
        </w:tabs>
        <w:suppressAutoHyphens w:val="0"/>
        <w:outlineLvl w:val="0"/>
        <w:rPr>
          <w:b/>
          <w:bCs/>
          <w:color w:val="000000"/>
          <w:sz w:val="22"/>
          <w:szCs w:val="22"/>
          <w:u w:color="000000"/>
          <w:bdr w:val="nil"/>
          <w:lang w:val="uk-UA" w:eastAsia="ru-RU"/>
        </w:rPr>
      </w:pP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b/>
          <w:color w:val="000000"/>
          <w:sz w:val="22"/>
          <w:szCs w:val="22"/>
          <w:u w:color="000000"/>
          <w:bdr w:val="nil"/>
          <w:lang w:val="uk-UA" w:eastAsia="ru-RU"/>
        </w:rPr>
      </w:pPr>
      <w:r w:rsidRPr="00404857">
        <w:rPr>
          <w:rFonts w:eastAsia="Arial Unicode MS"/>
          <w:b/>
          <w:color w:val="000000"/>
          <w:sz w:val="22"/>
          <w:szCs w:val="22"/>
          <w:u w:color="000000"/>
          <w:bdr w:val="nil"/>
          <w:lang w:val="uk-UA" w:eastAsia="ru-RU"/>
        </w:rPr>
        <w:t>3.ОСНОВНІ (СУТТЄВІ)  ПОЛОЖЕННЯ ОБЛІКОВОЇ ПОЛІТИКИ.</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 xml:space="preserve">Основа формування облікових політик, зміни в облікових політиках </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 xml:space="preserve"> Облікова політика – це конкретні принципи, основи, домовленості, правила та практика, застосовані Товариством при складанні та поданні фінансової звітності.  </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Положення облікової політики,описані нижче, застосовувались Товариством послідовно в звітних періодах, наведених в цій фінансовій звітності для подібних операцій, інших подій або умов, якщо МСФЗ конкретно не вимагає або не дозволяє визначення категорії статей, для яких інші політики можуть бути доречними. Фінансова звітність була підготовлена на основі облікових політик та облікових оцінок, чинних станом на 31 грудня 2017 року.</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Облікова політика Товариства розроблена та затверджена директором Товариства, враховуючи  вимоги МСБО 8 «Облікові політики, зміни в облікових оцінках та помилки» та інших чинних МСФЗ.</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Основа оцінки, МСФЗ 13 «Оцінка справедливої вартості»</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При підготовці фінансової звітності були застосовані ряд оціночних суджень та припущень, які впливають на величину активів і зобов’язань, відображених у звітності.  Встановлені припущення та судження ґрунтуються на історичному досвіді, поточних та очікуваних економічних умовах та іншій доступній інформації. Товариство наводить судження, які найбільш суттєво впливають на суми, визнані у фінансовій звітності та оцінка значення яких може стати причиною коригувань балансової вартості активів та зобов’язань в наступному.</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Ця фінансова звітність підготовлена на основі принципу історичної собівартості, за виключенням оцінки окремих  статей, що оцінюються за справедливою вартістю на кінець кожного звітного періоду як викладено у положеннях облікової політики.  Історична собівартість звичайно визначається  на основі справедливої вартості компенсації, сплаченої в обмін на товари та послуги.</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Справедливу вартість дебіторської та кредиторської заборгованості неможливо визначити достовірно, оскільки немає ринкового котирування цих активів.</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Методики оцінювання та вхідні дані, використані для складання оцінок за справедливою вартістю</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 xml:space="preserve"> Товариство здійснює виключно безперервні оцінки справедливої вартості активів та зобов’язань, тобто такі оцінки, які вимагаються МСФЗ 13  на кінець кожного звітного періоду.</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p>
    <w:p w:rsidR="004D2F84" w:rsidRDefault="004D2F84"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Pr>
          <w:rFonts w:eastAsia="Arial Unicode MS"/>
          <w:color w:val="000000"/>
          <w:sz w:val="22"/>
          <w:szCs w:val="22"/>
          <w:u w:color="000000"/>
          <w:bdr w:val="nil"/>
          <w:lang w:val="uk-UA" w:eastAsia="ru-RU"/>
        </w:rPr>
        <w:t xml:space="preserve"> Класи активів та зобов’язань оцінені</w:t>
      </w:r>
      <w:r w:rsidR="00404857" w:rsidRPr="00404857">
        <w:rPr>
          <w:rFonts w:eastAsia="Arial Unicode MS"/>
          <w:color w:val="000000"/>
          <w:sz w:val="22"/>
          <w:szCs w:val="22"/>
          <w:u w:color="000000"/>
          <w:bdr w:val="nil"/>
          <w:lang w:val="uk-UA" w:eastAsia="ru-RU"/>
        </w:rPr>
        <w:t xml:space="preserve"> за справедливою вартістю</w:t>
      </w:r>
      <w:r>
        <w:rPr>
          <w:rFonts w:eastAsia="Arial Unicode MS"/>
          <w:color w:val="000000"/>
          <w:sz w:val="22"/>
          <w:szCs w:val="22"/>
          <w:u w:color="000000"/>
          <w:bdr w:val="nil"/>
          <w:lang w:val="uk-UA" w:eastAsia="ru-RU"/>
        </w:rPr>
        <w:t xml:space="preserve">. </w:t>
      </w:r>
      <w:r w:rsidR="00404857" w:rsidRPr="00404857">
        <w:rPr>
          <w:rFonts w:eastAsia="Arial Unicode MS"/>
          <w:color w:val="000000"/>
          <w:sz w:val="22"/>
          <w:szCs w:val="22"/>
          <w:u w:color="000000"/>
          <w:bdr w:val="nil"/>
          <w:lang w:val="uk-UA" w:eastAsia="ru-RU"/>
        </w:rPr>
        <w:tab/>
      </w:r>
    </w:p>
    <w:p w:rsidR="004D2F84" w:rsidRDefault="004D2F84"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Pr>
          <w:rFonts w:eastAsia="Arial Unicode MS"/>
          <w:color w:val="000000"/>
          <w:sz w:val="22"/>
          <w:szCs w:val="22"/>
          <w:u w:color="000000"/>
          <w:bdr w:val="nil"/>
          <w:lang w:val="uk-UA" w:eastAsia="ru-RU"/>
        </w:rPr>
        <w:tab/>
        <w:t>Метод оцінки  витратний</w:t>
      </w:r>
      <w:r w:rsidR="00404857" w:rsidRPr="00404857">
        <w:rPr>
          <w:rFonts w:eastAsia="Arial Unicode MS"/>
          <w:color w:val="000000"/>
          <w:sz w:val="22"/>
          <w:szCs w:val="22"/>
          <w:u w:color="000000"/>
          <w:bdr w:val="nil"/>
          <w:lang w:val="uk-UA" w:eastAsia="ru-RU"/>
        </w:rPr>
        <w:tab/>
      </w:r>
    </w:p>
    <w:p w:rsidR="004D2F84"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Грошові кошти та їх еквіваленти</w:t>
      </w:r>
      <w:r w:rsidR="004D2F84">
        <w:rPr>
          <w:rFonts w:eastAsia="Arial Unicode MS"/>
          <w:color w:val="000000"/>
          <w:sz w:val="22"/>
          <w:szCs w:val="22"/>
          <w:u w:color="000000"/>
          <w:bdr w:val="nil"/>
          <w:lang w:val="uk-UA" w:eastAsia="ru-RU"/>
        </w:rPr>
        <w:t>.</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ab/>
        <w:t>Первісна та подальша оцінка грошових потоків та їх еквівалентів здійснюється за справедливою вартістю, яка дорівнює їх номінальній вартості</w:t>
      </w:r>
      <w:r w:rsidRPr="00404857">
        <w:rPr>
          <w:rFonts w:eastAsia="Arial Unicode MS"/>
          <w:color w:val="000000"/>
          <w:sz w:val="22"/>
          <w:szCs w:val="22"/>
          <w:u w:color="000000"/>
          <w:bdr w:val="nil"/>
          <w:lang w:val="uk-UA" w:eastAsia="ru-RU"/>
        </w:rPr>
        <w:tab/>
        <w:t>Ринковий</w:t>
      </w:r>
      <w:r w:rsidRPr="00404857">
        <w:rPr>
          <w:rFonts w:eastAsia="Arial Unicode MS"/>
          <w:color w:val="000000"/>
          <w:sz w:val="22"/>
          <w:szCs w:val="22"/>
          <w:u w:color="000000"/>
          <w:bdr w:val="nil"/>
          <w:lang w:val="uk-UA" w:eastAsia="ru-RU"/>
        </w:rPr>
        <w:tab/>
        <w:t>Офіційний курс НБУ</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Фінансові інвестиції</w:t>
      </w:r>
      <w:r w:rsidRPr="00404857">
        <w:rPr>
          <w:rFonts w:eastAsia="Arial Unicode MS"/>
          <w:color w:val="000000"/>
          <w:sz w:val="22"/>
          <w:szCs w:val="22"/>
          <w:u w:color="000000"/>
          <w:bdr w:val="nil"/>
          <w:lang w:val="uk-UA" w:eastAsia="ru-RU"/>
        </w:rPr>
        <w:tab/>
        <w:t>Первісна оцінка фінансових інвестицій здійснюється за собівартістю активу, подальша оцінка за  справедливою вартістю</w:t>
      </w:r>
      <w:r w:rsidRPr="00404857">
        <w:rPr>
          <w:rFonts w:eastAsia="Arial Unicode MS"/>
          <w:color w:val="000000"/>
          <w:sz w:val="22"/>
          <w:szCs w:val="22"/>
          <w:u w:color="000000"/>
          <w:bdr w:val="nil"/>
          <w:lang w:val="uk-UA" w:eastAsia="ru-RU"/>
        </w:rPr>
        <w:tab/>
        <w:t>ринковий</w:t>
      </w:r>
      <w:r w:rsidRPr="00404857">
        <w:rPr>
          <w:rFonts w:eastAsia="Arial Unicode MS"/>
          <w:color w:val="000000"/>
          <w:sz w:val="22"/>
          <w:szCs w:val="22"/>
          <w:u w:color="000000"/>
          <w:bdr w:val="nil"/>
          <w:lang w:val="uk-UA" w:eastAsia="ru-RU"/>
        </w:rPr>
        <w:tab/>
        <w:t>Біржові курси, контрактні умови, очікувані вхідні майбутні грошові потоки</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Дебіторська заборгованість</w:t>
      </w:r>
      <w:r w:rsidRPr="00404857">
        <w:rPr>
          <w:rFonts w:eastAsia="Arial Unicode MS"/>
          <w:color w:val="000000"/>
          <w:sz w:val="22"/>
          <w:szCs w:val="22"/>
          <w:u w:color="000000"/>
          <w:bdr w:val="nil"/>
          <w:lang w:val="uk-UA" w:eastAsia="ru-RU"/>
        </w:rPr>
        <w:tab/>
        <w:t>Первісна та подальша оцінка  дебіторської заборгованості здійснюється  за справедливою вартістю, яка дорівнює вартості погашення, тобто сумі очікуваних грошових потоків на дату оцінки</w:t>
      </w:r>
      <w:r w:rsidRPr="00404857">
        <w:rPr>
          <w:rFonts w:eastAsia="Arial Unicode MS"/>
          <w:color w:val="000000"/>
          <w:sz w:val="22"/>
          <w:szCs w:val="22"/>
          <w:u w:color="000000"/>
          <w:bdr w:val="nil"/>
          <w:lang w:val="uk-UA" w:eastAsia="ru-RU"/>
        </w:rPr>
        <w:tab/>
        <w:t>Дохідний</w:t>
      </w:r>
      <w:r w:rsidRPr="00404857">
        <w:rPr>
          <w:rFonts w:eastAsia="Arial Unicode MS"/>
          <w:color w:val="000000"/>
          <w:sz w:val="22"/>
          <w:szCs w:val="22"/>
          <w:u w:color="000000"/>
          <w:bdr w:val="nil"/>
          <w:lang w:val="uk-UA" w:eastAsia="ru-RU"/>
        </w:rPr>
        <w:tab/>
        <w:t>Контрактні умови, ймовірність погашення, очікувані вхідні майбутні грошові потоки</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lastRenderedPageBreak/>
        <w:t>Поточні зобов’язання</w:t>
      </w:r>
      <w:r w:rsidRPr="00404857">
        <w:rPr>
          <w:rFonts w:eastAsia="Arial Unicode MS"/>
          <w:color w:val="000000"/>
          <w:sz w:val="22"/>
          <w:szCs w:val="22"/>
          <w:u w:color="000000"/>
          <w:bdr w:val="nil"/>
          <w:lang w:val="uk-UA" w:eastAsia="ru-RU"/>
        </w:rPr>
        <w:tab/>
        <w:t>Первісна та подальша оцінка поточних зобов’язань здійснюється за вартістю погашення</w:t>
      </w:r>
      <w:r w:rsidRPr="00404857">
        <w:rPr>
          <w:rFonts w:eastAsia="Arial Unicode MS"/>
          <w:color w:val="000000"/>
          <w:sz w:val="22"/>
          <w:szCs w:val="22"/>
          <w:u w:color="000000"/>
          <w:bdr w:val="nil"/>
          <w:lang w:val="uk-UA" w:eastAsia="ru-RU"/>
        </w:rPr>
        <w:tab/>
        <w:t>Витратний</w:t>
      </w:r>
      <w:r w:rsidRPr="00404857">
        <w:rPr>
          <w:rFonts w:eastAsia="Arial Unicode MS"/>
          <w:color w:val="000000"/>
          <w:sz w:val="22"/>
          <w:szCs w:val="22"/>
          <w:u w:color="000000"/>
          <w:bdr w:val="nil"/>
          <w:lang w:val="uk-UA" w:eastAsia="ru-RU"/>
        </w:rPr>
        <w:tab/>
        <w:t>Контрактні умови, ймовірність погашення, очікувані майбутні вихідні грошові потоки</w:t>
      </w:r>
    </w:p>
    <w:p w:rsidR="00404857" w:rsidRPr="00404857" w:rsidRDefault="00404857" w:rsidP="00404857">
      <w:pPr>
        <w:pBdr>
          <w:top w:val="nil"/>
          <w:left w:val="nil"/>
          <w:bottom w:val="nil"/>
          <w:right w:val="nil"/>
          <w:between w:val="nil"/>
          <w:bar w:val="nil"/>
        </w:pBdr>
        <w:suppressAutoHyphens w:val="0"/>
        <w:ind w:right="-30"/>
        <w:jc w:val="both"/>
        <w:rPr>
          <w:rFonts w:eastAsia="Arial Unicode MS"/>
          <w:color w:val="000000"/>
          <w:sz w:val="22"/>
          <w:szCs w:val="22"/>
          <w:u w:color="000000"/>
          <w:bdr w:val="nil"/>
          <w:lang w:val="uk-UA" w:eastAsia="ru-RU"/>
        </w:rPr>
      </w:pP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 xml:space="preserve">Викладені далі положення облікової політики послідовно застосовувалися у періоді, поданому у цій фінансовій звітності. </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b/>
          <w:color w:val="000000"/>
          <w:sz w:val="22"/>
          <w:szCs w:val="22"/>
          <w:u w:color="000000"/>
          <w:bdr w:val="nil"/>
          <w:lang w:val="uk-UA" w:eastAsia="ru-RU"/>
        </w:rPr>
      </w:pPr>
      <w:r w:rsidRPr="00404857">
        <w:rPr>
          <w:rFonts w:eastAsia="Arial Unicode MS"/>
          <w:b/>
          <w:color w:val="000000"/>
          <w:sz w:val="22"/>
          <w:szCs w:val="22"/>
          <w:u w:color="000000"/>
          <w:bdr w:val="nil"/>
          <w:lang w:val="uk-UA" w:eastAsia="ru-RU"/>
        </w:rPr>
        <w:t>Форма та назви фінансових звітів.</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Формат фінансової звітності МСБО 1 «Подання фінансових звітів» не встановлює єдиного формату фінансових звітів, наводить перелік показників, які необхідно наводити в кожній формі звітності та у примітках.</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Перелік та назви форм фінансової звітності Товариства відповідають вимогам, встановлений НП(С)БО 1 «Загальні вимоги до фінансової звітності». Статті фінансової звітності за МСФЗ вписані в найбільш доречні рядки форм фінансових звітів, затверджених Міністерством фінансів України. Розкриття додаткової інформації, як це передбачено СМФЗ/МСБО, здійснюється у примітках до річної фінансової звітності.</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Методи подання інформації у фінансових звітах.</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У Звіті про фінансовий стан відображаються активи, зобов’язання та власний капітал Товариства. Згортання статей фінансових активів та зобов'язань: є неприпустимим, крім випадків,  передбачених   МСФЗ ( наприклад якщо Товариство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 Актив відображається в балансі за умови,  що оцінка  його може   бути   достовірно   визначена   і  очікується отримання в майбутньому економічних вигод, пов'язаних з його використанням. Зобов'язання відображається у балансі, якщо його оцінка може бути достовірно  визначена  та  існує  ймовірність зменшення економічних вигод у майбутньому внаслідок його погашення. Власний капітал відображається в балансі одночасно з відображенням  активів  або  зобов'язань,  які  призводять до його зміни. Оцінка  та  подальше  розкриття  окремих статей балансу в примітках до звітності здійснюються згідно з відповідними МСФЗ.</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Рівень суттєвості обраний Товариством та зафіксований в його обліковій політиці встановлений на рівні 10% від валюти балансу.</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Звіт про сукупний дохід 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витрат на збут або адміністративну діяльність.</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Рівень суттєвості обраний Товариством та зафіксований в його обліковій політиці встановлений на рівні 10% від доходу від будь-якої діяльності  Товариства.</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або виплат формується на підставі облікових записів Товариства.</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b/>
          <w:color w:val="000000"/>
          <w:sz w:val="22"/>
          <w:szCs w:val="22"/>
          <w:u w:color="000000"/>
          <w:bdr w:val="nil"/>
          <w:lang w:val="uk-UA" w:eastAsia="ru-RU"/>
        </w:rPr>
      </w:pPr>
      <w:r w:rsidRPr="00404857">
        <w:rPr>
          <w:rFonts w:eastAsia="Arial Unicode MS"/>
          <w:b/>
          <w:color w:val="000000"/>
          <w:sz w:val="22"/>
          <w:szCs w:val="22"/>
          <w:u w:color="000000"/>
          <w:bdr w:val="nil"/>
          <w:lang w:val="uk-UA" w:eastAsia="ru-RU"/>
        </w:rPr>
        <w:t>Функціональна валюта та іноземна валюта.</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Фінансова звітність Товариства складається в національній валюті України (гривні), що є функціональною валютою та  найкращим чином відповідає економічній сутності подій та умов, що стосуються Товариства. Господарських  операцій   в валютах у Товаристві не було.</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b/>
          <w:color w:val="000000"/>
          <w:sz w:val="22"/>
          <w:szCs w:val="22"/>
          <w:u w:color="000000"/>
          <w:bdr w:val="nil"/>
          <w:lang w:val="uk-UA" w:eastAsia="ru-RU"/>
        </w:rPr>
      </w:pPr>
      <w:r w:rsidRPr="00404857">
        <w:rPr>
          <w:rFonts w:eastAsia="Arial Unicode MS"/>
          <w:b/>
          <w:color w:val="000000"/>
          <w:sz w:val="22"/>
          <w:szCs w:val="22"/>
          <w:u w:color="000000"/>
          <w:bdr w:val="nil"/>
          <w:lang w:val="uk-UA" w:eastAsia="ru-RU"/>
        </w:rPr>
        <w:t>Грошові кошти та їх еквіваленти</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sz w:val="22"/>
          <w:szCs w:val="22"/>
          <w:u w:color="000000"/>
          <w:bdr w:val="nil"/>
          <w:lang w:val="uk-UA" w:eastAsia="ru-RU"/>
        </w:rPr>
      </w:pPr>
      <w:r w:rsidRPr="00404857">
        <w:rPr>
          <w:rFonts w:eastAsia="Arial Unicode MS"/>
          <w:color w:val="000000"/>
          <w:sz w:val="22"/>
          <w:szCs w:val="22"/>
          <w:u w:color="000000"/>
          <w:bdr w:val="nil"/>
          <w:lang w:val="uk-UA" w:eastAsia="ru-RU"/>
        </w:rPr>
        <w:t>Грошові кошти Товариства включають грошові кошти в банках ( на поточних рахунках та депозити), готівкові кошти в касах, грошові документи та еквіваленти грошових коштів, що не  обмежені  у використанні. Відповідно до МСФЗ 13 «Оцінка справедливої вартості» грошові кошти та їх еквіваленти оцінюються за ринковим методом оцінки а саме справедливою вартістю, що дорівнює їх номінальній вартості. Первісна та подальша оцінка грошових коштів та їх еквівалентів в іноземній валюті здійснюється у функціональній валюті за офіційним курсом Національного банку України. у разі обмеження права використання коштів на поточних рахунках в банках (наприклад у випадку призначення НБУ в банківській установі тимчасової адміністрації) ці активи можуть бути класифіковані у складі не поточних активів. У випадку прийняття НБУ рішення про ліквідацію банківської установи та відсутності ймовірності повернення грошових коштів, визнання їх як активу припиняється і їх вартість відображається у складі збитків звітного року.</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b/>
          <w:color w:val="000000"/>
          <w:sz w:val="22"/>
          <w:szCs w:val="22"/>
          <w:u w:color="000000"/>
          <w:bdr w:val="nil"/>
          <w:lang w:val="uk-UA" w:eastAsia="ru-RU"/>
        </w:rPr>
      </w:pPr>
      <w:r w:rsidRPr="00404857">
        <w:rPr>
          <w:rFonts w:eastAsia="Arial Unicode MS"/>
          <w:b/>
          <w:color w:val="000000"/>
          <w:sz w:val="22"/>
          <w:szCs w:val="22"/>
          <w:u w:color="000000"/>
          <w:bdr w:val="nil"/>
          <w:lang w:val="uk-UA" w:eastAsia="ru-RU"/>
        </w:rPr>
        <w:t xml:space="preserve">Специфіка діяльності </w:t>
      </w:r>
    </w:p>
    <w:p w:rsidR="00404857" w:rsidRPr="00404857" w:rsidRDefault="00404857" w:rsidP="00404857">
      <w:pPr>
        <w:pBdr>
          <w:top w:val="nil"/>
          <w:left w:val="nil"/>
          <w:bottom w:val="nil"/>
          <w:right w:val="nil"/>
          <w:between w:val="nil"/>
          <w:bar w:val="nil"/>
        </w:pBdr>
        <w:suppressAutoHyphens w:val="0"/>
        <w:ind w:right="-30" w:firstLine="567"/>
        <w:jc w:val="both"/>
        <w:rPr>
          <w:rFonts w:eastAsia="Arial Unicode MS"/>
          <w:color w:val="000000"/>
          <w:u w:color="000000"/>
          <w:bdr w:val="nil"/>
          <w:lang w:eastAsia="ru-RU"/>
        </w:rPr>
      </w:pPr>
      <w:r w:rsidRPr="00404857">
        <w:rPr>
          <w:rFonts w:eastAsia="Arial Unicode MS"/>
          <w:color w:val="000000"/>
          <w:sz w:val="22"/>
          <w:szCs w:val="22"/>
          <w:u w:color="000000"/>
          <w:bdr w:val="nil"/>
          <w:lang w:val="uk-UA" w:eastAsia="ru-RU"/>
        </w:rPr>
        <w:t xml:space="preserve">Основним видом діяльності Товариства є </w:t>
      </w:r>
      <w:r w:rsidRPr="00404857">
        <w:rPr>
          <w:rFonts w:eastAsia="Arial Unicode MS" w:cs="Arial Unicode MS"/>
          <w:color w:val="000000"/>
          <w:u w:color="000000"/>
          <w:bdr w:val="nil"/>
          <w:lang w:val="uk-UA" w:eastAsia="ar-SA"/>
        </w:rPr>
        <w:t>надання на власний ризик фінансових кредитів фізичним особам за рахунок власних або залучених коштів, під заставу майна на визначений строк і під процент та надання супутніх послуг ломбарду.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660"/>
      </w:tblGrid>
      <w:tr w:rsidR="00404857" w:rsidRPr="00404857" w:rsidTr="006A3E59">
        <w:trPr>
          <w:cantSplit/>
          <w:trHeight w:val="356"/>
        </w:trPr>
        <w:tc>
          <w:tcPr>
            <w:tcW w:w="2700" w:type="dxa"/>
            <w:vAlign w:val="center"/>
          </w:tcPr>
          <w:p w:rsidR="00404857" w:rsidRPr="00404857" w:rsidRDefault="00404857" w:rsidP="00404857">
            <w:pPr>
              <w:suppressAutoHyphens w:val="0"/>
              <w:spacing w:before="60" w:after="60"/>
              <w:ind w:firstLine="567"/>
              <w:jc w:val="center"/>
              <w:rPr>
                <w:lang w:eastAsia="ru-RU"/>
              </w:rPr>
            </w:pPr>
            <w:r w:rsidRPr="00404857">
              <w:rPr>
                <w:lang w:eastAsia="ru-RU"/>
              </w:rPr>
              <w:t>Квед 64.92</w:t>
            </w:r>
          </w:p>
        </w:tc>
        <w:tc>
          <w:tcPr>
            <w:tcW w:w="6660" w:type="dxa"/>
            <w:vAlign w:val="center"/>
          </w:tcPr>
          <w:p w:rsidR="00404857" w:rsidRPr="00404857" w:rsidRDefault="00404857" w:rsidP="00404857">
            <w:pPr>
              <w:suppressAutoHyphens w:val="0"/>
              <w:spacing w:before="60" w:after="60"/>
              <w:ind w:left="529"/>
              <w:rPr>
                <w:lang w:val="uk-UA" w:eastAsia="ru-RU"/>
              </w:rPr>
            </w:pPr>
            <w:r w:rsidRPr="00404857">
              <w:rPr>
                <w:lang w:eastAsia="ru-RU"/>
              </w:rPr>
              <w:t>Інші види кредитування</w:t>
            </w:r>
            <w:r w:rsidRPr="00404857">
              <w:rPr>
                <w:lang w:val="uk-UA" w:eastAsia="ru-RU"/>
              </w:rPr>
              <w:t xml:space="preserve"> (основний)</w:t>
            </w:r>
          </w:p>
        </w:tc>
      </w:tr>
    </w:tbl>
    <w:p w:rsidR="00404857" w:rsidRPr="00404857" w:rsidRDefault="00404857" w:rsidP="00404857">
      <w:pPr>
        <w:pBdr>
          <w:top w:val="nil"/>
          <w:left w:val="nil"/>
          <w:bottom w:val="nil"/>
          <w:right w:val="nil"/>
          <w:between w:val="nil"/>
          <w:bar w:val="nil"/>
        </w:pBdr>
        <w:suppressAutoHyphens w:val="0"/>
        <w:jc w:val="both"/>
        <w:outlineLvl w:val="1"/>
        <w:rPr>
          <w:rFonts w:eastAsia="Arial Unicode MS" w:cs="Arial Unicode MS"/>
          <w:b/>
          <w:bCs/>
          <w:color w:val="000000"/>
          <w:sz w:val="26"/>
          <w:szCs w:val="26"/>
          <w:u w:color="000000"/>
          <w:bdr w:val="nil"/>
          <w:lang w:val="uk-UA" w:eastAsia="ru-RU"/>
        </w:rPr>
      </w:pPr>
      <w:r w:rsidRPr="00404857">
        <w:rPr>
          <w:rFonts w:eastAsia="Arial Unicode MS" w:cs="Arial Unicode MS"/>
          <w:b/>
          <w:bCs/>
          <w:color w:val="000000"/>
          <w:sz w:val="26"/>
          <w:szCs w:val="26"/>
          <w:u w:color="000000"/>
          <w:bdr w:val="nil"/>
          <w:lang w:val="uk-UA" w:eastAsia="ru-RU"/>
        </w:rPr>
        <w:lastRenderedPageBreak/>
        <w:t>МСФЗ 9 «Фінансові інструменти», МСБО 32 «Фінансові інструменти: подання», МСБО 39 «Фінансові інструменти: визнання та оцінка»</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До фінансових інструментів Товариство відносить  первинні  (грошові кошти, цінні папери, дебіторська і кредиторська заборгованість по поточним операціям) та вторинні (деривативи) фінансові інструменти.</w:t>
      </w:r>
    </w:p>
    <w:p w:rsidR="00404857" w:rsidRPr="00404857" w:rsidRDefault="00404857" w:rsidP="00404857">
      <w:pPr>
        <w:pBdr>
          <w:top w:val="nil"/>
          <w:left w:val="nil"/>
          <w:bottom w:val="nil"/>
          <w:right w:val="nil"/>
          <w:between w:val="nil"/>
          <w:bar w:val="nil"/>
        </w:pBdr>
        <w:suppressAutoHyphens w:val="0"/>
        <w:ind w:firstLine="567"/>
        <w:rPr>
          <w:i/>
          <w:iCs/>
          <w:color w:val="000000"/>
          <w:u w:val="single" w:color="000000"/>
          <w:bdr w:val="nil"/>
          <w:lang w:val="uk-UA" w:eastAsia="ru-RU"/>
        </w:rPr>
      </w:pPr>
      <w:r w:rsidRPr="00404857">
        <w:rPr>
          <w:rFonts w:eastAsia="Arial Unicode MS" w:cs="Arial Unicode MS"/>
          <w:i/>
          <w:iCs/>
          <w:color w:val="000000"/>
          <w:u w:val="single" w:color="000000"/>
          <w:bdr w:val="nil"/>
          <w:lang w:val="uk-UA" w:eastAsia="ru-RU"/>
        </w:rPr>
        <w:t xml:space="preserve">Первісна оцінка </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Згідно з положеннями МСБО 39 «Фінансові інструменти: визнання та оцінка»  при первісному визнанні фінансові інструменти   оцінюються та відображаються за їх фактичною собівартістю, яка складається із справедливої вартості активів, зобов’язань або інструментів власного капіталу, наданих або отриманих в обмін на відповідний фінансовий інструмент, і витрат, які безпосередньо пов’язані з придбанням або вибуттям фінансового інструмента (комісійні, обов’язкові збори та платежі при передачі фінансових інструментів тощо). Під час первісного визнання фінансових інструментів  Товариство  присвоює їм відповідну категорію і потім може перекласифікувати  у деяких випадках, зазначених нижче.</w:t>
      </w:r>
    </w:p>
    <w:p w:rsidR="00404857" w:rsidRPr="00404857" w:rsidRDefault="00404857" w:rsidP="00404857">
      <w:pPr>
        <w:pBdr>
          <w:top w:val="nil"/>
          <w:left w:val="nil"/>
          <w:bottom w:val="nil"/>
          <w:right w:val="nil"/>
          <w:between w:val="nil"/>
          <w:bar w:val="nil"/>
        </w:pBdr>
        <w:suppressAutoHyphens w:val="0"/>
        <w:ind w:firstLine="567"/>
        <w:jc w:val="both"/>
        <w:rPr>
          <w:i/>
          <w:iCs/>
          <w:color w:val="000000"/>
          <w:u w:val="single" w:color="000000"/>
          <w:bdr w:val="nil"/>
          <w:lang w:val="uk-UA" w:eastAsia="ru-RU"/>
        </w:rPr>
      </w:pPr>
      <w:r w:rsidRPr="00404857">
        <w:rPr>
          <w:rFonts w:eastAsia="Arial Unicode MS" w:cs="Arial Unicode MS"/>
          <w:i/>
          <w:iCs/>
          <w:color w:val="000000"/>
          <w:u w:val="single" w:color="000000"/>
          <w:bdr w:val="nil"/>
          <w:lang w:val="uk-UA" w:eastAsia="ru-RU"/>
        </w:rPr>
        <w:t xml:space="preserve">Дата визнання </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Всі стандартні операції з купівлі-продажу фінансових інструментів відображаються на дату операції, тобто на дату, коли Товариство  стає стороною договору щодо відповідного фінансового інструменту. До стандартних операцій з купівлі-продажу відносяться операції з купівлі або продажу фінансових активів, в рамках яких передбачається передача активів у строки, встановлені законодавством або прийняті на ринку.</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i/>
          <w:iCs/>
          <w:color w:val="000000"/>
          <w:u w:val="single" w:color="000000"/>
          <w:bdr w:val="nil"/>
          <w:lang w:val="uk-UA" w:eastAsia="ru-RU"/>
        </w:rPr>
      </w:pPr>
      <w:r w:rsidRPr="00404857">
        <w:rPr>
          <w:i/>
          <w:iCs/>
          <w:color w:val="000000"/>
          <w:u w:val="single" w:color="000000"/>
          <w:bdr w:val="nil"/>
          <w:lang w:val="uk-UA" w:eastAsia="ru-RU"/>
        </w:rPr>
        <w:t xml:space="preserve">Критерії визнання </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Перший критерій визнання: Контрольованість Товариством ресурсів.</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Наявність активів суб'єкта господарювання є результатом минулих операцій або інших подій. Суб'єкти господарювання, як правило, отримують активи шляхом їх придбання. Таким чином, придбані у минулому цінні папери контролюються  Товариством, оскільки здатність суб’єкта господарювання контролювати ресурси, як правило, визначається юридичними правами, включаючи право власності на цінні папери та права за цінними паперами (право на отримання доходу у вигляді дивідендів або процентів, право на отримання відшкодування у разі банкрутства або припинення емітента з інших підстав, право на участь у управлінні справами емітента та ін.).</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Другий критерій визнання: Можливість отримання від ресурсів економічних вигод у майбутньому.</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Майбутні економічні вигоди, втілені в активах, можуть надходити до суб'єкта господарювання різними шляхами. Наприклад, актив можна (невиключний перелік):</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а) продати;</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б) обміняти на інші активи;</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в) використати для погашення заборгованості;</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г) розподілити між власниками суб'єкта господарювання;</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ґ) використати як об’єкт застави;</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д) отримати доход у вигляді дивідендів або процентів (у разі, коли активом є цінні папери),</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е) отримати майнове або грошове відшкодування вартості цінного паперу внаслідок викупу його емітентом.</w:t>
      </w:r>
    </w:p>
    <w:p w:rsidR="00404857" w:rsidRPr="00404857" w:rsidRDefault="00404857" w:rsidP="00404857">
      <w:pPr>
        <w:keepNext/>
        <w:pBdr>
          <w:top w:val="nil"/>
          <w:left w:val="nil"/>
          <w:bottom w:val="nil"/>
          <w:right w:val="nil"/>
          <w:between w:val="nil"/>
          <w:bar w:val="nil"/>
        </w:pBdr>
        <w:suppressAutoHyphens w:val="0"/>
        <w:spacing w:line="240" w:lineRule="atLeast"/>
        <w:ind w:firstLine="567"/>
        <w:outlineLvl w:val="5"/>
        <w:rPr>
          <w:i/>
          <w:iCs/>
          <w:color w:val="000000"/>
          <w:u w:val="single" w:color="000000"/>
          <w:bdr w:val="nil"/>
          <w:lang w:val="uk-UA" w:eastAsia="ru-RU"/>
        </w:rPr>
      </w:pPr>
    </w:p>
    <w:p w:rsidR="00404857" w:rsidRPr="00404857" w:rsidRDefault="00404857" w:rsidP="00404857">
      <w:pPr>
        <w:keepNext/>
        <w:pBdr>
          <w:top w:val="nil"/>
          <w:left w:val="nil"/>
          <w:bottom w:val="nil"/>
          <w:right w:val="nil"/>
          <w:between w:val="nil"/>
          <w:bar w:val="nil"/>
        </w:pBdr>
        <w:suppressAutoHyphens w:val="0"/>
        <w:spacing w:line="240" w:lineRule="atLeast"/>
        <w:ind w:firstLine="567"/>
        <w:outlineLvl w:val="5"/>
        <w:rPr>
          <w:i/>
          <w:iCs/>
          <w:color w:val="000000"/>
          <w:u w:val="single" w:color="000000"/>
          <w:bdr w:val="nil"/>
          <w:lang w:val="uk-UA" w:eastAsia="ru-RU"/>
        </w:rPr>
      </w:pPr>
      <w:r w:rsidRPr="00404857">
        <w:rPr>
          <w:i/>
          <w:iCs/>
          <w:color w:val="000000"/>
          <w:u w:val="single" w:color="000000"/>
          <w:bdr w:val="nil"/>
          <w:lang w:val="uk-UA" w:eastAsia="ru-RU"/>
        </w:rPr>
        <w:t xml:space="preserve">Наступна оцінка фінансових інструментів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На кожну наступну після визнання дату балансу фінансові активи оцінюються за їх справедливою вартістю, крім: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дебіторської заборгованості, що не призначена для перепродажу;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фінансових інвестицій, що утримуються Товариством до їх погашення;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фінансових активів, справедливу вартість яких неможливо достовірно визначити;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фінансових інвестицій та інших фінансових активів, щодо яких не застосовується оцінка за справедливою вартістю.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На кожну наступну після визнання дату балансу збільшення або зменшення балансової вартості фінансових інструментів, які не є об'єктом хеджування та оцінюються за справедливою вартістю, визнається іншими доходами або іншими витратами.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Балансова вартість фінансових активів, щодо яких не застосовується оцінка за справедливою вартістю, переглядається щодо можливого зменшення корисності на кожну дату балансу на основі аналізу очікуваних грошових потоків.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i/>
          <w:iC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Сума втрат від зменшення корисності фінансового активу визначається як різниця між його балансовою вартістю та теперішньою вартістю очікуваних грошових потоків, дисконтованих за поточною ринковою ставкою відсотка (ефективною відсотковою ставкою)на подібний фінансовий актив, з визнанням цієї різниці іншими витратами звітного періоду. </w:t>
      </w:r>
      <w:r w:rsidRPr="00404857">
        <w:rPr>
          <w:rFonts w:eastAsia="Arial Unicode MS" w:cs="Arial Unicode MS"/>
          <w:i/>
          <w:iCs/>
          <w:color w:val="000000"/>
          <w:sz w:val="22"/>
          <w:szCs w:val="22"/>
          <w:u w:color="000000"/>
          <w:bdr w:val="nil"/>
          <w:lang w:val="uk-UA" w:eastAsia="ru-RU"/>
        </w:rPr>
        <w:t>Дисконтування не використовується, коли ефект від дисконтування є несуттєвим.</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lastRenderedPageBreak/>
        <w:t>Розкриття справедливої вартості не вимагається у випадках, коли балансова вартість є прийнятним наближенням до справедливої вартості, таких як короткострокова дебіторська і кредиторська заборгованість, або для інструментів, чия справедлива вартість не може бути достовірно оцінена.</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Фінансові зобов'язання оцінюються за амортизованою собівартістю, крім фінансових зобов'язань, призначених для перепродажу, і зобов'язань за похідними фінансовими інструментами.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Фінансові зобов'язання, призначені для перепродажу, і фінансові зобов'язання за похідними фінансовими інструментами (крім зобов'язання за похідним фінансовим інструментом, яке має бути погашеним шляхом передачі пов'язаного з ним інструмента власного капіталу) на кожну наступну після визнання дату балансу оцінюються за справедливою вартістю.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Зобов'язання за похідним фінансовим інструментом, яке має бути погашене шляхом передачі пов'язаного з ним інструмента власного капіталу, справедливу вартість якого на кожну наступну після визнання дату балансу не можна достовірно визначити, оцінюється за собівартістю. </w:t>
      </w:r>
    </w:p>
    <w:p w:rsidR="00404857" w:rsidRPr="00404857" w:rsidRDefault="00404857" w:rsidP="00404857">
      <w:pPr>
        <w:keepNext/>
        <w:pBdr>
          <w:top w:val="nil"/>
          <w:left w:val="nil"/>
          <w:bottom w:val="nil"/>
          <w:right w:val="nil"/>
          <w:between w:val="nil"/>
          <w:bar w:val="nil"/>
        </w:pBdr>
        <w:suppressAutoHyphens w:val="0"/>
        <w:spacing w:line="240" w:lineRule="atLeast"/>
        <w:ind w:firstLine="567"/>
        <w:outlineLvl w:val="5"/>
        <w:rPr>
          <w:i/>
          <w:iCs/>
          <w:color w:val="000000"/>
          <w:sz w:val="22"/>
          <w:szCs w:val="22"/>
          <w:u w:val="single" w:color="000000"/>
          <w:bdr w:val="nil"/>
          <w:lang w:val="uk-UA" w:eastAsia="ru-RU"/>
        </w:rPr>
      </w:pPr>
      <w:r w:rsidRPr="00404857">
        <w:rPr>
          <w:i/>
          <w:iCs/>
          <w:color w:val="000000"/>
          <w:sz w:val="22"/>
          <w:szCs w:val="22"/>
          <w:u w:val="single" w:color="000000"/>
          <w:bdr w:val="nil"/>
          <w:lang w:val="uk-UA" w:eastAsia="ru-RU"/>
        </w:rPr>
        <w:t>Списання з балансу</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Товариство списує фінансовий актив з балансу, якщо воно втрачає контроль за цим фінансовим активом або його частиною. Ознакою втрати контролю є повне виконання контракту, закінчення терміну прав вимоги або відмови від прав за цим контрактом.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Якщо при передачі фінансового активу іншому підприємству контроль не втрачається, то така операція відображається як позика під забезпечення, а право Товариства, яке передало актив, на його викуп не вважається похідним фінансовим інструментом.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Товариство, яке передало фінансовий актив, не втрачає контролю за ним і не списує його з балансу, якщо Товариство: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а) має право викупити цей фінансовий актив, крім випадків, коли цей актив вільно обертається на ринку або коли на момент викупу викупна ціна дорівнює справедливій вартості цього активу;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б) має право і зобов'язане викупити або погасити переданий фінансовий актив на умовах, які забезпечують його одержувачу дохід кредитора від фінансових активів, отриманих в обмін на переданий фінансовий актив. При цьому дохід кредитора не повинен суттєво (більш ніж на 10 відсотків) відрізнятись від того, який він міг би отримати за позикою Товариству, що передало актив, повністю забезпечену переданим активом;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в) зберігає за собою значну частину ризиків і вигід від права власності на переданий фінансовий актив, який не обертається вільно на ринку, шляхом свопу на сукупний річний дохід з отримувачем цього активу або безумовного опціону на продаж. В останньому випадку утримувачем опціону є підприємство, яке отримало актив.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Товариство списує з балансу фінансове зобов'язання або його частину після його виконання, анулювання або закінчення терміну його дії.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Інструменти власного капіталу визнаються одночасно з визнанням фінансового активу і фінансового зобов'язання або зі списанням іншого інструмента власного капіталу. </w:t>
      </w:r>
    </w:p>
    <w:p w:rsidR="00404857" w:rsidRPr="00404857" w:rsidRDefault="00404857" w:rsidP="00404857">
      <w:pPr>
        <w:keepNext/>
        <w:pBdr>
          <w:top w:val="nil"/>
          <w:left w:val="nil"/>
          <w:bottom w:val="nil"/>
          <w:right w:val="nil"/>
          <w:between w:val="nil"/>
          <w:bar w:val="nil"/>
        </w:pBdr>
        <w:suppressAutoHyphens w:val="0"/>
        <w:spacing w:line="240" w:lineRule="atLeast"/>
        <w:ind w:firstLine="567"/>
        <w:outlineLvl w:val="5"/>
        <w:rPr>
          <w:i/>
          <w:iCs/>
          <w:color w:val="000000"/>
          <w:sz w:val="22"/>
          <w:szCs w:val="22"/>
          <w:u w:val="single" w:color="000000"/>
          <w:bdr w:val="nil"/>
          <w:lang w:val="uk-UA" w:eastAsia="ru-RU"/>
        </w:rPr>
      </w:pPr>
      <w:r w:rsidRPr="00404857">
        <w:rPr>
          <w:i/>
          <w:iCs/>
          <w:color w:val="000000"/>
          <w:sz w:val="22"/>
          <w:szCs w:val="22"/>
          <w:u w:val="single" w:color="000000"/>
          <w:bdr w:val="nil"/>
          <w:lang w:val="uk-UA" w:eastAsia="ru-RU"/>
        </w:rPr>
        <w:t xml:space="preserve">Взаємозалік </w:t>
      </w:r>
    </w:p>
    <w:p w:rsidR="00404857" w:rsidRPr="00404857" w:rsidRDefault="00404857" w:rsidP="00404857">
      <w:pPr>
        <w:pBdr>
          <w:top w:val="nil"/>
          <w:left w:val="nil"/>
          <w:bottom w:val="nil"/>
          <w:right w:val="nil"/>
          <w:between w:val="nil"/>
          <w:bar w:val="nil"/>
        </w:pBdr>
        <w:suppressAutoHyphens w:val="0"/>
        <w:ind w:firstLine="567"/>
        <w:jc w:val="both"/>
        <w:rPr>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Взаємозалік фінансових активів та зобов’язань з відображенням лише чистого сальдо у звіті про фінансовий стан здійснюється тільки за наявності юридично закріпленого права здійснювати згортання або наміру провести розрахунок шляхом взаємозаліку або реалізувати актив і одночасно погасити зобов’язання. </w:t>
      </w:r>
    </w:p>
    <w:p w:rsidR="00404857" w:rsidRPr="00404857" w:rsidRDefault="00404857" w:rsidP="00404857">
      <w:pPr>
        <w:keepNext/>
        <w:pBdr>
          <w:top w:val="nil"/>
          <w:left w:val="nil"/>
          <w:bottom w:val="nil"/>
          <w:right w:val="nil"/>
          <w:between w:val="nil"/>
          <w:bar w:val="nil"/>
        </w:pBdr>
        <w:suppressAutoHyphens w:val="0"/>
        <w:spacing w:line="240" w:lineRule="atLeast"/>
        <w:ind w:firstLine="567"/>
        <w:outlineLvl w:val="5"/>
        <w:rPr>
          <w:i/>
          <w:iCs/>
          <w:color w:val="000000"/>
          <w:sz w:val="22"/>
          <w:szCs w:val="22"/>
          <w:u w:val="single" w:color="000000"/>
          <w:bdr w:val="nil"/>
          <w:lang w:val="uk-UA" w:eastAsia="ru-RU"/>
        </w:rPr>
      </w:pPr>
      <w:r w:rsidRPr="00404857">
        <w:rPr>
          <w:i/>
          <w:iCs/>
          <w:color w:val="000000"/>
          <w:sz w:val="22"/>
          <w:szCs w:val="22"/>
          <w:u w:val="single" w:color="000000"/>
          <w:bdr w:val="nil"/>
          <w:lang w:val="uk-UA" w:eastAsia="ru-RU"/>
        </w:rPr>
        <w:t xml:space="preserve">Перекласифікація фінансових активів </w:t>
      </w:r>
    </w:p>
    <w:p w:rsidR="00404857" w:rsidRPr="00404857" w:rsidRDefault="00404857" w:rsidP="00404857">
      <w:pPr>
        <w:pBdr>
          <w:top w:val="nil"/>
          <w:left w:val="nil"/>
          <w:bottom w:val="nil"/>
          <w:right w:val="nil"/>
          <w:between w:val="nil"/>
          <w:bar w:val="nil"/>
        </w:pBdr>
        <w:suppressAutoHyphens w:val="0"/>
        <w:ind w:firstLine="567"/>
        <w:jc w:val="both"/>
        <w:rPr>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Фінансовий актив, класифікований як наявний для продажу, якщо він відповідає визначенню кредитів та дебіторської заборгованості, може бути перекласифікований у категорію кредитів та дебіторської заборгованості, якщо Товариство має намір і можливість утримувати даний актив у найближчому майбутньому або до погашення. </w:t>
      </w:r>
    </w:p>
    <w:p w:rsidR="00404857" w:rsidRPr="00404857" w:rsidRDefault="00404857" w:rsidP="00404857">
      <w:pPr>
        <w:keepNext/>
        <w:pBdr>
          <w:top w:val="nil"/>
          <w:left w:val="nil"/>
          <w:bottom w:val="nil"/>
          <w:right w:val="nil"/>
          <w:between w:val="nil"/>
          <w:bar w:val="nil"/>
        </w:pBdr>
        <w:suppressAutoHyphens w:val="0"/>
        <w:spacing w:line="240" w:lineRule="atLeast"/>
        <w:ind w:firstLine="567"/>
        <w:outlineLvl w:val="5"/>
        <w:rPr>
          <w:i/>
          <w:iCs/>
          <w:color w:val="000000"/>
          <w:sz w:val="22"/>
          <w:szCs w:val="22"/>
          <w:u w:val="single" w:color="000000"/>
          <w:bdr w:val="nil"/>
          <w:lang w:val="uk-UA" w:eastAsia="ru-RU"/>
        </w:rPr>
      </w:pPr>
      <w:r w:rsidRPr="00404857">
        <w:rPr>
          <w:i/>
          <w:iCs/>
          <w:color w:val="000000"/>
          <w:sz w:val="22"/>
          <w:szCs w:val="22"/>
          <w:u w:val="single" w:color="000000"/>
          <w:bdr w:val="nil"/>
          <w:lang w:val="uk-UA" w:eastAsia="ru-RU"/>
        </w:rPr>
        <w:t xml:space="preserve">Хеджування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Облік хеджування справедливої вартості здійснюється у разі наявності всіх таких умов: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на початку хеджування оформлена документація про відносини хеджування, про цілі управління ризиком, про стратегію цього виду хеджування. Документацією має бути визначено інструмент хеджування, сутність ризику, що хеджується, та спосіб оцінки ефективності інструмента хеджування;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очікується, що значення коефіцієнта ефективності хеджування буде в межах 0,8 - 1,25;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справедливу вартість або грошові потоки від об'єкта хеджування та справедливу вартість інструмента хеджування можна достовірно оцінити;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існує висока імовірність здійснення прогнозованої операції, яка є об'єктом хеджування грошових потоків;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Зміни балансової вартості об'єкта хеджування (крім хеджування грошових потоків) внаслідок переоцінки або ризику, що хеджується, визнаються іншими доходами або іншими витратами звітного періоду.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Товариство припиняє визнання змін балансової вартості за умови, якщо відбулася одна з таких подій: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строк дії інструмента хеджування закінчився або цей інструмент було продано чи виконано;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lastRenderedPageBreak/>
        <w:t>- хеджування більше не відповідає умовам, наведеним МСФЗ.</w:t>
      </w:r>
    </w:p>
    <w:p w:rsidR="00404857" w:rsidRPr="00404857" w:rsidRDefault="00404857" w:rsidP="00404857">
      <w:pPr>
        <w:pBdr>
          <w:top w:val="nil"/>
          <w:left w:val="nil"/>
          <w:bottom w:val="nil"/>
          <w:right w:val="nil"/>
          <w:between w:val="nil"/>
          <w:bar w:val="nil"/>
        </w:pBdr>
        <w:suppressAutoHyphens w:val="0"/>
        <w:jc w:val="both"/>
        <w:rPr>
          <w:color w:val="000000"/>
          <w:u w:color="000000"/>
          <w:bdr w:val="nil"/>
          <w:lang w:val="uk-UA" w:eastAsia="ru-RU"/>
        </w:rPr>
      </w:pPr>
    </w:p>
    <w:p w:rsidR="00404857" w:rsidRPr="00404857" w:rsidRDefault="00404857" w:rsidP="00404857">
      <w:pPr>
        <w:pBdr>
          <w:top w:val="nil"/>
          <w:left w:val="nil"/>
          <w:bottom w:val="nil"/>
          <w:right w:val="nil"/>
          <w:between w:val="nil"/>
          <w:bar w:val="nil"/>
        </w:pBdr>
        <w:tabs>
          <w:tab w:val="left" w:pos="993"/>
        </w:tabs>
        <w:suppressAutoHyphens w:val="0"/>
        <w:jc w:val="both"/>
        <w:rPr>
          <w:b/>
          <w:bCs/>
          <w:color w:val="000000"/>
          <w:u w:color="000000"/>
          <w:bdr w:val="nil"/>
          <w:lang w:val="uk-UA" w:eastAsia="ru-RU"/>
        </w:rPr>
      </w:pPr>
      <w:r w:rsidRPr="00404857">
        <w:rPr>
          <w:b/>
          <w:bCs/>
          <w:color w:val="000000"/>
          <w:u w:color="000000"/>
          <w:bdr w:val="nil"/>
          <w:lang w:val="uk-UA" w:eastAsia="ru-RU"/>
        </w:rPr>
        <w:t xml:space="preserve">Фінансові інвестиції </w:t>
      </w:r>
    </w:p>
    <w:p w:rsidR="00404857" w:rsidRPr="00404857" w:rsidRDefault="00404857" w:rsidP="00404857">
      <w:pPr>
        <w:keepNext/>
        <w:pBdr>
          <w:top w:val="nil"/>
          <w:left w:val="nil"/>
          <w:bottom w:val="nil"/>
          <w:right w:val="nil"/>
          <w:between w:val="nil"/>
          <w:bar w:val="nil"/>
        </w:pBdr>
        <w:suppressAutoHyphens w:val="0"/>
        <w:spacing w:line="240" w:lineRule="atLeast"/>
        <w:ind w:firstLine="567"/>
        <w:outlineLvl w:val="5"/>
        <w:rPr>
          <w:i/>
          <w:iCs/>
          <w:color w:val="000000"/>
          <w:sz w:val="22"/>
          <w:szCs w:val="22"/>
          <w:u w:val="single" w:color="000000"/>
          <w:bdr w:val="nil"/>
          <w:lang w:val="uk-UA" w:eastAsia="ru-RU"/>
        </w:rPr>
      </w:pPr>
      <w:r w:rsidRPr="00404857">
        <w:rPr>
          <w:i/>
          <w:iCs/>
          <w:color w:val="000000"/>
          <w:sz w:val="22"/>
          <w:szCs w:val="22"/>
          <w:u w:val="single" w:color="000000"/>
          <w:bdr w:val="nil"/>
          <w:lang w:val="uk-UA" w:eastAsia="ru-RU"/>
        </w:rPr>
        <w:t>Признання фінансової інвестиції</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У відповідності з МСФЗ 39 фінансова інвестиція визнається у випадку якщо існує вірогідність,що Товариство отримає від неї економічні вигоди в майбутньому, вартість активу можна достовірно оцінити та в Товариства дійсно з’явилися права на отримання вигід.</w:t>
      </w:r>
    </w:p>
    <w:p w:rsidR="00404857" w:rsidRPr="00404857" w:rsidRDefault="00404857" w:rsidP="00404857">
      <w:pPr>
        <w:keepNext/>
        <w:pBdr>
          <w:top w:val="nil"/>
          <w:left w:val="nil"/>
          <w:bottom w:val="nil"/>
          <w:right w:val="nil"/>
          <w:between w:val="nil"/>
          <w:bar w:val="nil"/>
        </w:pBdr>
        <w:suppressAutoHyphens w:val="0"/>
        <w:spacing w:line="240" w:lineRule="atLeast"/>
        <w:ind w:firstLine="567"/>
        <w:outlineLvl w:val="5"/>
        <w:rPr>
          <w:i/>
          <w:iCs/>
          <w:color w:val="000000"/>
          <w:sz w:val="22"/>
          <w:szCs w:val="22"/>
          <w:u w:val="single" w:color="000000"/>
          <w:bdr w:val="nil"/>
          <w:lang w:val="uk-UA" w:eastAsia="ru-RU"/>
        </w:rPr>
      </w:pPr>
      <w:r w:rsidRPr="00404857">
        <w:rPr>
          <w:i/>
          <w:iCs/>
          <w:color w:val="000000"/>
          <w:sz w:val="22"/>
          <w:szCs w:val="22"/>
          <w:u w:val="single" w:color="000000"/>
          <w:bdr w:val="nil"/>
          <w:lang w:val="uk-UA" w:eastAsia="ru-RU"/>
        </w:rPr>
        <w:t>Перевод цінних паперів із одної категорії в іншу</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Фінансовий актив може бути переведений в іншу категорію за судженням відповідального працівника який формує та документує мотивоване судження по  переводу але як правило цінні папери класифікуються </w:t>
      </w:r>
      <w:r w:rsidRPr="00404857">
        <w:rPr>
          <w:rFonts w:eastAsia="Arial Unicode MS" w:cs="Arial Unicode MS"/>
          <w:bCs/>
          <w:color w:val="000000"/>
          <w:sz w:val="22"/>
          <w:szCs w:val="22"/>
          <w:u w:color="000000"/>
          <w:bdr w:val="nil"/>
          <w:lang w:val="uk-UA" w:eastAsia="ru-RU"/>
        </w:rPr>
        <w:t>як торгові цінні папери для продажу</w:t>
      </w:r>
      <w:r w:rsidRPr="00404857">
        <w:rPr>
          <w:rFonts w:eastAsia="Arial Unicode MS" w:cs="Arial Unicode MS"/>
          <w:color w:val="000000"/>
          <w:sz w:val="22"/>
          <w:szCs w:val="22"/>
          <w:u w:color="000000"/>
          <w:bdr w:val="nil"/>
          <w:lang w:val="uk-UA" w:eastAsia="ru-RU"/>
        </w:rPr>
        <w:t xml:space="preserve">  з переоцінкою через прибутки та збитки.</w:t>
      </w:r>
    </w:p>
    <w:p w:rsidR="00404857" w:rsidRPr="00404857" w:rsidRDefault="00404857" w:rsidP="00404857">
      <w:pPr>
        <w:keepNext/>
        <w:pBdr>
          <w:top w:val="nil"/>
          <w:left w:val="nil"/>
          <w:bottom w:val="nil"/>
          <w:right w:val="nil"/>
          <w:between w:val="nil"/>
          <w:bar w:val="nil"/>
        </w:pBdr>
        <w:suppressAutoHyphens w:val="0"/>
        <w:spacing w:line="240" w:lineRule="atLeast"/>
        <w:ind w:firstLine="567"/>
        <w:outlineLvl w:val="5"/>
        <w:rPr>
          <w:i/>
          <w:iCs/>
          <w:color w:val="000000"/>
          <w:sz w:val="22"/>
          <w:szCs w:val="22"/>
          <w:u w:val="single" w:color="000000"/>
          <w:bdr w:val="nil"/>
          <w:lang w:val="uk-UA" w:eastAsia="ru-RU"/>
        </w:rPr>
      </w:pPr>
      <w:r w:rsidRPr="00404857">
        <w:rPr>
          <w:i/>
          <w:iCs/>
          <w:color w:val="000000"/>
          <w:sz w:val="22"/>
          <w:szCs w:val="22"/>
          <w:u w:val="single" w:color="000000"/>
          <w:bdr w:val="nil"/>
          <w:lang w:val="uk-UA" w:eastAsia="ru-RU"/>
        </w:rPr>
        <w:t>Первісна оцінка фінансових інвестицій</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Фінансові інвестиції первісно оцінюються та відображаються у бухгалтерському обліку за </w:t>
      </w:r>
      <w:r w:rsidRPr="00404857">
        <w:rPr>
          <w:rFonts w:eastAsia="Arial Unicode MS" w:cs="Arial Unicode MS"/>
          <w:b/>
          <w:bCs/>
          <w:color w:val="000000"/>
          <w:sz w:val="22"/>
          <w:szCs w:val="22"/>
          <w:u w:color="000000"/>
          <w:bdr w:val="nil"/>
          <w:lang w:val="uk-UA" w:eastAsia="ru-RU"/>
        </w:rPr>
        <w:t>собівартістю</w:t>
      </w:r>
      <w:r w:rsidRPr="00404857">
        <w:rPr>
          <w:rFonts w:eastAsia="Arial Unicode MS" w:cs="Arial Unicode MS"/>
          <w:color w:val="000000"/>
          <w:sz w:val="22"/>
          <w:szCs w:val="22"/>
          <w:u w:color="000000"/>
          <w:bdr w:val="nil"/>
          <w:lang w:val="uk-UA" w:eastAsia="ru-RU"/>
        </w:rPr>
        <w:t xml:space="preserve">. Собівартість фінансової інвестиції складається з ціни її придбання відповідно до договору, комісійних винагород агентам, консультантам, брокерам та дилерам, мита, податків, зборів регулюючих органів та фондових бірж, обов'язкових платежів та інших витрат, безпосередньо пов'язаних з придбанням фінансової інвестиції.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Якщо придбання фінансової інвестиції здійснюється шляхом обміну на цінні папери власної емісії, то собівартість фінансової інвестиції визначається за справедливою вартістю переданих цінних паперів.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Якщо придбання фінансової інвестиції здійснюється шляхом обміну на інші активи, то її собівартість визначається за справедливою вартістю цих активів.</w:t>
      </w:r>
    </w:p>
    <w:p w:rsidR="00404857" w:rsidRPr="00404857" w:rsidRDefault="00404857" w:rsidP="00404857">
      <w:pPr>
        <w:keepNext/>
        <w:pBdr>
          <w:top w:val="nil"/>
          <w:left w:val="nil"/>
          <w:bottom w:val="nil"/>
          <w:right w:val="nil"/>
          <w:between w:val="nil"/>
          <w:bar w:val="nil"/>
        </w:pBdr>
        <w:suppressAutoHyphens w:val="0"/>
        <w:spacing w:line="240" w:lineRule="atLeast"/>
        <w:ind w:firstLine="567"/>
        <w:outlineLvl w:val="5"/>
        <w:rPr>
          <w:i/>
          <w:iCs/>
          <w:color w:val="000000"/>
          <w:sz w:val="22"/>
          <w:szCs w:val="22"/>
          <w:u w:val="single" w:color="000000"/>
          <w:bdr w:val="nil"/>
          <w:lang w:val="uk-UA" w:eastAsia="ru-RU"/>
        </w:rPr>
      </w:pPr>
      <w:r w:rsidRPr="00404857">
        <w:rPr>
          <w:i/>
          <w:iCs/>
          <w:color w:val="000000"/>
          <w:sz w:val="22"/>
          <w:szCs w:val="22"/>
          <w:u w:val="single" w:color="000000"/>
          <w:bdr w:val="nil"/>
          <w:lang w:val="uk-UA" w:eastAsia="ru-RU"/>
        </w:rPr>
        <w:t xml:space="preserve">Оцінка фінансових інвестицій на дату балансу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Фінансові інвестиції (крім інвестицій, що утримуються Товариством  до їх погашення або обліковуються за методом участі в капіталі) на дату балансу відображаються за справедливою вартістю.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Сума збільшення або зменшення балансової вартості фінансових інвестицій на дату балансу (крім інвестицій, що обліковуються за методом участі в капіталі) відображається у складі інших доходів або інших витрат відповідно у Звіті про прибутки та збитки.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i/>
          <w:iCs/>
          <w:color w:val="000000"/>
          <w:sz w:val="22"/>
          <w:szCs w:val="22"/>
          <w:u w:color="000000"/>
          <w:bdr w:val="nil"/>
          <w:lang w:val="uk-UA" w:eastAsia="ru-RU"/>
        </w:rPr>
      </w:pPr>
      <w:r w:rsidRPr="00404857">
        <w:rPr>
          <w:rFonts w:eastAsia="Arial Unicode MS" w:cs="Arial Unicode MS"/>
          <w:i/>
          <w:iCs/>
          <w:color w:val="000000"/>
          <w:sz w:val="22"/>
          <w:szCs w:val="22"/>
          <w:u w:color="000000"/>
          <w:bdr w:val="nil"/>
          <w:lang w:val="uk-UA" w:eastAsia="ru-RU"/>
        </w:rPr>
        <w:t>Справедлива (ринкова ціна) визначається відповідно до такого алгоритму:</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А) Фінансові інвестиції, які та дату балансу мають біржовий курс – перераховуються за біржовим курсом тієї біржі, на якій Товариство має найбільшу питому вагу в загальній кількості операцій на дату, що передує дню, станом на який визначається ринкова вартість. Якщо таку біржу  визначити неможливо, перераховується по середньозваженому курсу (середньоарифметичне значення розрахованих фондовими біржами біржових курсів), протягом останніх трьох місяців обігу, що передують дню, станом на який визначається ринкова вартість.</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Б) Фінансові інвестиції, по яким були укладені контракти на купівлю-продаж за 1 місяць до або після звітної дати,  оцінюються за ціною контрактів, як такою яка є ринковою (справедливою) – так зване «контрактне право».  </w:t>
      </w:r>
      <w:r w:rsidRPr="00404857">
        <w:rPr>
          <w:rFonts w:eastAsia="Arial Unicode MS" w:cs="Arial Unicode MS"/>
          <w:bCs/>
          <w:color w:val="000000"/>
          <w:sz w:val="22"/>
          <w:szCs w:val="22"/>
          <w:u w:color="000000"/>
          <w:bdr w:val="nil"/>
          <w:lang w:val="uk-UA" w:eastAsia="ru-RU"/>
        </w:rPr>
        <w:t>Ринкова ціна</w:t>
      </w:r>
      <w:r w:rsidRPr="00404857">
        <w:rPr>
          <w:rFonts w:eastAsia="Arial Unicode MS" w:cs="Arial Unicode MS"/>
          <w:color w:val="000000"/>
          <w:sz w:val="22"/>
          <w:szCs w:val="22"/>
          <w:u w:color="000000"/>
          <w:bdr w:val="nil"/>
          <w:lang w:val="uk-UA" w:eastAsia="ru-RU"/>
        </w:rPr>
        <w:t xml:space="preserve"> - це ціна, за якою фінансові інвестиції передаються іншому власнику за умови, що продавець бажає передати, а покупець бажає їх отримати на добровільній основі, обидві сторони є взаємно незалежними юридично та фактично, володіють достатньою інформацією про такі фінансові інвестиції, а також ціни, які склалися на ринку ідентичних (а за їх відсутності - однорідних) товарів (робіт, послуг) у порівняних економічних (комерційних) умовах.</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В) Фінансові інвестиції, по яким не розраховується біржовий курс, протягом останніх трьох місяців обігу, що передують дню, станом на який визначається ринкова вартість, та ринкову вартість відповідно до п. Б встановити не вдалося,  справедливу вартість визначають  відповідно до законодавства про оцінку майна, майнових прав та професійну оціночну діяльність.</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Г) Фінансові інвестиції, справедливу вартість яких достовірно визначити неможливо за пунктами А,Б,В, відображаються  на дату балансу за їх собівартістю з урахуванням зменшення корисності інвестиції на основі аналізу очікуваних грошових потоків. Втрати від зменшення корисності фінансових інвестицій відображаються у складі інших витрат з одночасним зменшенням балансової вартості фінансових інвестицій.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Фінансові інвестиції, що утримуються Товариством  до їх погашення, відображаються на дату балансу за амортизованою собівартістю фінансових інвестицій.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Зменшення балансової вартості фінансових інвестицій відображається в бухгалтерському обліку тільки на суму, що не призводить до від'ємного значення вартості фінансових інвестицій. Фінансові інвестиції, що внаслідок зменшення їх балансової вартості досягають нульової вартості, відображаються в бухгалтерському обліку у складі фінансових інвестицій за нульовою вартістю.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Оцінка та облік фінансових інвестицій здійснюються за кожною фінансовою інвестицією. </w:t>
      </w:r>
    </w:p>
    <w:p w:rsidR="00404857" w:rsidRPr="00404857" w:rsidRDefault="00404857" w:rsidP="00404857">
      <w:pPr>
        <w:keepNext/>
        <w:pBdr>
          <w:top w:val="nil"/>
          <w:left w:val="nil"/>
          <w:bottom w:val="nil"/>
          <w:right w:val="nil"/>
          <w:between w:val="nil"/>
          <w:bar w:val="nil"/>
        </w:pBdr>
        <w:suppressAutoHyphens w:val="0"/>
        <w:spacing w:line="240" w:lineRule="atLeast"/>
        <w:ind w:firstLine="567"/>
        <w:outlineLvl w:val="5"/>
        <w:rPr>
          <w:i/>
          <w:iCs/>
          <w:color w:val="000000"/>
          <w:sz w:val="22"/>
          <w:szCs w:val="22"/>
          <w:u w:val="single" w:color="000000"/>
          <w:bdr w:val="nil"/>
          <w:lang w:val="uk-UA" w:eastAsia="ru-RU"/>
        </w:rPr>
      </w:pPr>
      <w:r w:rsidRPr="00404857">
        <w:rPr>
          <w:i/>
          <w:iCs/>
          <w:color w:val="000000"/>
          <w:sz w:val="22"/>
          <w:szCs w:val="22"/>
          <w:u w:val="single" w:color="000000"/>
          <w:bdr w:val="nil"/>
          <w:lang w:val="uk-UA" w:eastAsia="ru-RU"/>
        </w:rPr>
        <w:lastRenderedPageBreak/>
        <w:t>Переоцінка фінансових інвестицій</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Для попередження завищення оцінки активів та зобов’язань а також заниження оцінки зобов’язань та витрат, інвестиції переоцінюються та відображаються в балансі за справедливою ринковою вартістю. Різниці, що виникають в обліку за торговими цінними паперами відображаються через прибутки та збитки.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Показником  справедливої вартості для ринкових фінансових інвестицій є ринкова ціна, для неринкових – ціна, що визначається за допомогою методу ефективної ставки проценту.</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Товариство   встановило періодичність   переоцінки фінансових інвестицій  щонайменше один раз на квартал при підготовці проміжної та річної фінансової звітності. </w:t>
      </w:r>
    </w:p>
    <w:p w:rsidR="00404857" w:rsidRPr="00404857" w:rsidRDefault="00404857" w:rsidP="00404857">
      <w:pPr>
        <w:widowControl w:val="0"/>
        <w:pBdr>
          <w:top w:val="nil"/>
          <w:left w:val="nil"/>
          <w:bottom w:val="nil"/>
          <w:right w:val="nil"/>
          <w:between w:val="nil"/>
          <w:bar w:val="nil"/>
        </w:pBdr>
        <w:suppressAutoHyphens w:val="0"/>
        <w:ind w:left="142" w:firstLine="567"/>
        <w:jc w:val="both"/>
        <w:rPr>
          <w:rFonts w:eastAsia="Arial Unicode MS" w:cs="Arial Unicode MS"/>
          <w:color w:val="000000"/>
          <w:u w:color="000000"/>
          <w:bdr w:val="nil"/>
          <w:lang w:val="uk-UA" w:eastAsia="ru-RU"/>
        </w:rPr>
      </w:pPr>
    </w:p>
    <w:p w:rsidR="00404857" w:rsidRPr="00404857" w:rsidRDefault="00404857" w:rsidP="00404857">
      <w:pPr>
        <w:pBdr>
          <w:top w:val="nil"/>
          <w:left w:val="nil"/>
          <w:bottom w:val="nil"/>
          <w:right w:val="nil"/>
          <w:between w:val="nil"/>
          <w:bar w:val="nil"/>
        </w:pBdr>
        <w:suppressAutoHyphens w:val="0"/>
        <w:ind w:firstLine="567"/>
        <w:jc w:val="both"/>
        <w:outlineLvl w:val="1"/>
        <w:rPr>
          <w:rFonts w:eastAsia="Arial Unicode MS" w:cs="Arial Unicode MS"/>
          <w:b/>
          <w:bCs/>
          <w:color w:val="000000"/>
          <w:u w:color="000000"/>
          <w:bdr w:val="nil"/>
          <w:lang w:val="uk-UA" w:eastAsia="ru-RU"/>
        </w:rPr>
      </w:pPr>
      <w:r w:rsidRPr="00404857">
        <w:rPr>
          <w:rFonts w:eastAsia="Arial Unicode MS" w:cs="Arial Unicode MS"/>
          <w:b/>
          <w:bCs/>
          <w:color w:val="000000"/>
          <w:u w:color="000000"/>
          <w:bdr w:val="nil"/>
          <w:lang w:val="uk-UA" w:eastAsia="ru-RU"/>
        </w:rPr>
        <w:t>МСБО 16 «Основні засоби»</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b/>
          <w:bCs/>
          <w:color w:val="000000"/>
          <w:u w:color="000000"/>
          <w:bdr w:val="nil"/>
          <w:lang w:val="uk-UA" w:eastAsia="ru-RU"/>
        </w:rPr>
        <w:t>Основні засоби</w:t>
      </w:r>
      <w:r w:rsidRPr="00404857">
        <w:rPr>
          <w:color w:val="000000"/>
          <w:u w:color="000000"/>
          <w:bdr w:val="nil"/>
          <w:lang w:val="uk-UA" w:eastAsia="ru-RU"/>
        </w:rPr>
        <w:t xml:space="preserve"> </w:t>
      </w:r>
      <w:r w:rsidRPr="00404857">
        <w:rPr>
          <w:color w:val="000000"/>
          <w:sz w:val="22"/>
          <w:szCs w:val="22"/>
          <w:u w:color="000000"/>
          <w:bdr w:val="nil"/>
          <w:lang w:val="uk-UA" w:eastAsia="ru-RU"/>
        </w:rPr>
        <w:t xml:space="preserve">в цілому відображені за первісною (історичною)  вартістю  за вирахуванням накопиченої амортизації та накопичених збитків від знецінення в разі їх наявності. Основні засоби обліковуються та відображаються у фінансовій звітності Товариства у відповідності з МСБО 16. Основними засобами Товариства  є матеріальні активи, очікуваний строк використання яких більше 1 року. </w:t>
      </w:r>
      <w:r w:rsidRPr="00404857">
        <w:rPr>
          <w:color w:val="000000"/>
          <w:sz w:val="22"/>
          <w:szCs w:val="22"/>
          <w:u w:val="single" w:color="000000"/>
          <w:bdr w:val="nil"/>
          <w:lang w:val="uk-UA" w:eastAsia="ru-RU"/>
        </w:rPr>
        <w:t xml:space="preserve">Первісна вартість </w:t>
      </w:r>
      <w:r w:rsidRPr="00404857">
        <w:rPr>
          <w:color w:val="000000"/>
          <w:sz w:val="22"/>
          <w:szCs w:val="22"/>
          <w:u w:color="000000"/>
          <w:bdr w:val="nil"/>
          <w:lang w:val="uk-UA" w:eastAsia="ru-RU"/>
        </w:rPr>
        <w:t xml:space="preserve">основних  засобів включає ціну придбання, непрямі податки, імпортні мита, які пов’язані з придбанням основних засобів і не підлягають відшкодуванню, витрати на установку та налагодження основних засобів, доставку, а також інші витрати, безпосередньо пов’язані з доведенням основних  засобів до стану, у якому вони придатні до використання із запланованою метою. Витрати  на поліпшення основних засобів капіталізуються тільки в тих випадках, коли вони призводять до збільшення майбутніх економічних вигод від основного засобу. Всі інші витрати визнаються у звіті про фінансові результати у складі витрат у тому періоді, в якому вони понесені. Припинення визнання основних засобів відбувається після їх вибуття або в тих випадках, коли подальше використання активу, як очікується, не принесе економічних вигод. </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Основні засоби Товариства класифікують за такими групами ( класами):</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b/>
          <w:bCs/>
          <w:color w:val="000000"/>
          <w:sz w:val="22"/>
          <w:szCs w:val="22"/>
          <w:u w:color="000000"/>
          <w:bdr w:val="nil"/>
          <w:lang w:val="uk-UA" w:eastAsia="ru-RU"/>
        </w:rPr>
        <w:t>група 4</w:t>
      </w:r>
      <w:r w:rsidRPr="00404857">
        <w:rPr>
          <w:rFonts w:eastAsia="Arial Unicode MS" w:cs="Arial Unicode MS"/>
          <w:color w:val="000000"/>
          <w:sz w:val="22"/>
          <w:szCs w:val="22"/>
          <w:u w:color="000000"/>
          <w:bdr w:val="nil"/>
          <w:lang w:val="uk-UA" w:eastAsia="ru-RU"/>
        </w:rPr>
        <w:t xml:space="preserve"> – машини та обладнання, з них: електронно-обчислювальні машини, інші машини для автоматичного оброблення інформації, пов’язані з ними засоби зчитування або друку інформації, пов’язані з ними комп’ютерні програми (крім програм, витрати на придбання яких визнаються роялті, та або програм, які визнаються нематеріальним активом), ксерокси, інші інформаційні системи, комутатори, модулі, модеми, джерела безперебійного живлення та засоби їх підключення до телекомунікаційних мереж,  телефони (в тому числі стільникові), мікрофони і рації, факси, радіостанції, обладнання зв’язку, вартість яких перевищує  6 000,00 грн.;</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b/>
          <w:bCs/>
          <w:color w:val="000000"/>
          <w:sz w:val="22"/>
          <w:szCs w:val="22"/>
          <w:u w:color="000000"/>
          <w:bdr w:val="nil"/>
          <w:lang w:val="uk-UA" w:eastAsia="ru-RU"/>
        </w:rPr>
        <w:t>група 6</w:t>
      </w:r>
      <w:r w:rsidRPr="00404857">
        <w:rPr>
          <w:rFonts w:eastAsia="Arial Unicode MS" w:cs="Arial Unicode MS"/>
          <w:color w:val="000000"/>
          <w:sz w:val="22"/>
          <w:szCs w:val="22"/>
          <w:u w:color="000000"/>
          <w:bdr w:val="nil"/>
          <w:lang w:val="uk-UA" w:eastAsia="ru-RU"/>
        </w:rPr>
        <w:t xml:space="preserve"> – інструменти, прилади, інвентар (меблі); </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b/>
          <w:bCs/>
          <w:color w:val="000000"/>
          <w:sz w:val="22"/>
          <w:szCs w:val="22"/>
          <w:u w:color="000000"/>
          <w:bdr w:val="nil"/>
          <w:lang w:val="uk-UA" w:eastAsia="ru-RU"/>
        </w:rPr>
        <w:t>група 9</w:t>
      </w:r>
      <w:r w:rsidRPr="00404857">
        <w:rPr>
          <w:rFonts w:eastAsia="Arial Unicode MS" w:cs="Arial Unicode MS"/>
          <w:color w:val="000000"/>
          <w:sz w:val="22"/>
          <w:szCs w:val="22"/>
          <w:u w:color="000000"/>
          <w:bdr w:val="nil"/>
          <w:lang w:val="uk-UA" w:eastAsia="ru-RU"/>
        </w:rPr>
        <w:t xml:space="preserve"> – інші основні засоби;</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b/>
          <w:bCs/>
          <w:color w:val="000000"/>
          <w:sz w:val="22"/>
          <w:szCs w:val="22"/>
          <w:u w:color="000000"/>
          <w:bdr w:val="nil"/>
          <w:lang w:val="uk-UA" w:eastAsia="ru-RU"/>
        </w:rPr>
        <w:t>група 11</w:t>
      </w:r>
      <w:r w:rsidRPr="00404857">
        <w:rPr>
          <w:rFonts w:eastAsia="Arial Unicode MS" w:cs="Arial Unicode MS"/>
          <w:color w:val="000000"/>
          <w:sz w:val="22"/>
          <w:szCs w:val="22"/>
          <w:u w:color="000000"/>
          <w:bdr w:val="nil"/>
          <w:lang w:val="uk-UA" w:eastAsia="ru-RU"/>
        </w:rPr>
        <w:t xml:space="preserve"> – малоцінні необоротні матеріальні активи.</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Для визнання основних засобів, інших необоротних матеріальних активів та нематеріальних активів, визначення терміну їх корисного використання, визначення єдиних методологічних засад облікової політики необоротних активів і застосування методів оцінки та нарахування зносу створено технічну експертну комісію в складі керівників виробничих служб (відділів) Товариства.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b/>
          <w:bCs/>
          <w:color w:val="000000"/>
          <w:sz w:val="22"/>
          <w:szCs w:val="22"/>
          <w:u w:color="000000"/>
          <w:bdr w:val="nil"/>
          <w:lang w:val="uk-UA" w:eastAsia="ru-RU"/>
        </w:rPr>
        <w:t>Амортизація.</w:t>
      </w:r>
      <w:r w:rsidRPr="00404857">
        <w:rPr>
          <w:color w:val="000000"/>
          <w:sz w:val="22"/>
          <w:szCs w:val="22"/>
          <w:u w:color="000000"/>
          <w:bdr w:val="nil"/>
          <w:lang w:val="uk-UA" w:eastAsia="ru-RU"/>
        </w:rPr>
        <w:t xml:space="preserve"> Амортизація основних засобів починається з  місяця, наступного за місяцем, коли такий актив стає придатним до використання. Амортизація нараховується з використанням прямолінійного методу шляхом списання вартості, яка амортизується протягом строку корисного використання активу. При введенні в експлуатацію встановлюються індивідуальні терміни корисного використання для окремих основних засобів виходячи з дійсного стану таких об’єктів (будівлі та споруди 20-50 років, машини та устаткування 10-15 років, інструменти, прилади та інші основні засоби 4-8 років).</w:t>
      </w:r>
    </w:p>
    <w:p w:rsidR="00404857" w:rsidRPr="00404857" w:rsidRDefault="00404857" w:rsidP="00404857">
      <w:pPr>
        <w:pBdr>
          <w:top w:val="nil"/>
          <w:left w:val="nil"/>
          <w:bottom w:val="nil"/>
          <w:right w:val="nil"/>
          <w:between w:val="nil"/>
          <w:bar w:val="nil"/>
        </w:pBdr>
        <w:tabs>
          <w:tab w:val="left" w:pos="993"/>
        </w:tabs>
        <w:suppressAutoHyphens w:val="0"/>
        <w:ind w:left="283" w:firstLine="567"/>
        <w:jc w:val="both"/>
        <w:rPr>
          <w:color w:val="000000"/>
          <w:sz w:val="22"/>
          <w:szCs w:val="22"/>
          <w:u w:color="000000"/>
          <w:bdr w:val="nil"/>
          <w:lang w:val="uk-UA" w:eastAsia="ru-RU"/>
        </w:rPr>
      </w:pPr>
      <w:r w:rsidRPr="00404857">
        <w:rPr>
          <w:color w:val="000000"/>
          <w:sz w:val="22"/>
          <w:szCs w:val="22"/>
          <w:u w:color="000000"/>
          <w:bdr w:val="nil"/>
          <w:lang w:val="uk-UA" w:eastAsia="ru-RU"/>
        </w:rPr>
        <w:t>Ліквідаційна вартість основних засобів визначається рівною нулю.</w:t>
      </w:r>
    </w:p>
    <w:p w:rsidR="00404857" w:rsidRPr="00404857" w:rsidRDefault="00404857" w:rsidP="00404857">
      <w:pPr>
        <w:pBdr>
          <w:top w:val="nil"/>
          <w:left w:val="nil"/>
          <w:bottom w:val="nil"/>
          <w:right w:val="nil"/>
          <w:between w:val="nil"/>
          <w:bar w:val="nil"/>
        </w:pBdr>
        <w:shd w:val="clear" w:color="auto" w:fill="FFFFFF"/>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Переоцінка здійснюється один раз на рік станом на 31 грудня при виникненні необхідності її проведення. Межу суттєвості для проведення переоцінки, а саме величину розриву між залишковою та справедливою вартістю основних засобів встановити на рівні 20 %. </w:t>
      </w:r>
    </w:p>
    <w:p w:rsidR="00404857" w:rsidRPr="00404857" w:rsidRDefault="00404857" w:rsidP="00404857">
      <w:pPr>
        <w:pBdr>
          <w:top w:val="nil"/>
          <w:left w:val="nil"/>
          <w:bottom w:val="nil"/>
          <w:right w:val="nil"/>
          <w:between w:val="nil"/>
          <w:bar w:val="nil"/>
        </w:pBdr>
        <w:shd w:val="clear" w:color="auto" w:fill="FFFFFF"/>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Переоцінка основних засобів тієї групи, об'єкти якої вже зазнали переоцінки, надалі має проводитися з такою регулярністю, щоб їх залишкова вартість на дату балансу суттєво не відрізнялася від справедливої вартості.</w:t>
      </w:r>
    </w:p>
    <w:p w:rsidR="00404857" w:rsidRPr="00404857" w:rsidRDefault="00404857" w:rsidP="00404857">
      <w:pPr>
        <w:pBdr>
          <w:top w:val="nil"/>
          <w:left w:val="nil"/>
          <w:bottom w:val="nil"/>
          <w:right w:val="nil"/>
          <w:between w:val="nil"/>
          <w:bar w:val="nil"/>
        </w:pBdr>
        <w:shd w:val="clear" w:color="auto" w:fill="FFFFFF"/>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w:t>
      </w:r>
    </w:p>
    <w:p w:rsidR="00404857" w:rsidRPr="00404857" w:rsidRDefault="00404857" w:rsidP="00404857">
      <w:pPr>
        <w:pBdr>
          <w:top w:val="nil"/>
          <w:left w:val="nil"/>
          <w:bottom w:val="nil"/>
          <w:right w:val="nil"/>
          <w:between w:val="nil"/>
          <w:bar w:val="nil"/>
        </w:pBdr>
        <w:suppressAutoHyphens w:val="0"/>
        <w:ind w:firstLine="567"/>
        <w:jc w:val="both"/>
        <w:outlineLvl w:val="1"/>
        <w:rPr>
          <w:rFonts w:eastAsia="Arial Unicode MS" w:cs="Arial Unicode MS"/>
          <w:b/>
          <w:bCs/>
          <w:color w:val="000000"/>
          <w:u w:color="000000"/>
          <w:bdr w:val="nil"/>
          <w:lang w:val="uk-UA" w:eastAsia="ru-RU"/>
        </w:rPr>
      </w:pPr>
      <w:r w:rsidRPr="00404857">
        <w:rPr>
          <w:rFonts w:eastAsia="Arial Unicode MS" w:cs="Arial Unicode MS"/>
          <w:b/>
          <w:bCs/>
          <w:color w:val="000000"/>
          <w:u w:color="000000"/>
          <w:bdr w:val="nil"/>
          <w:lang w:val="uk-UA" w:eastAsia="ru-RU"/>
        </w:rPr>
        <w:t xml:space="preserve">МСФЗ 5 «Непоточні активи, утримувані для продажу та припинена діяльність»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Основні засоби, що призначені для  продажу  та відповідають критеріям визнання, обліковуються за МСФЗ 5.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u w:color="000000"/>
          <w:bdr w:val="nil"/>
          <w:lang w:val="uk-UA" w:eastAsia="ru-RU"/>
        </w:rPr>
      </w:pPr>
    </w:p>
    <w:p w:rsidR="00404857" w:rsidRPr="00404857" w:rsidRDefault="00404857" w:rsidP="00404857">
      <w:pPr>
        <w:pBdr>
          <w:top w:val="nil"/>
          <w:left w:val="nil"/>
          <w:bottom w:val="nil"/>
          <w:right w:val="nil"/>
          <w:between w:val="nil"/>
          <w:bar w:val="nil"/>
        </w:pBdr>
        <w:suppressAutoHyphens w:val="0"/>
        <w:ind w:firstLine="567"/>
        <w:jc w:val="both"/>
        <w:outlineLvl w:val="1"/>
        <w:rPr>
          <w:rFonts w:eastAsia="Arial Unicode MS" w:cs="Arial Unicode MS"/>
          <w:b/>
          <w:bCs/>
          <w:color w:val="000000"/>
          <w:u w:color="000000"/>
          <w:bdr w:val="nil"/>
          <w:lang w:val="uk-UA" w:eastAsia="ru-RU"/>
        </w:rPr>
      </w:pPr>
      <w:r w:rsidRPr="00404857">
        <w:rPr>
          <w:rFonts w:eastAsia="Arial Unicode MS" w:cs="Arial Unicode MS"/>
          <w:b/>
          <w:bCs/>
          <w:color w:val="000000"/>
          <w:u w:color="000000"/>
          <w:bdr w:val="nil"/>
          <w:lang w:val="uk-UA" w:eastAsia="ru-RU"/>
        </w:rPr>
        <w:t>МСБО 36 «Зменшення корисності активів»</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Активи, термін експлуатації яких не обмежений, не амортизуються, але розглядаються щорічно на предмет знецінення. У разі наявності фактів знецінення активів, Товариство має застосовувати МСБО 36, що передбачає процедуру тестування на знецінення.</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lastRenderedPageBreak/>
        <w:t>Активи, що амортизуються, аналізуються на предмет їх можливого знецінення в разі якихось подій або зміни обставин, які вказують на те, що відшкодування повної балансової вартості може стати неможливим. Збиток від знецінення визнається у сумі, на яку балансова вартість активу перевищує вартість його відшкодування. Вартість відшкодування активу – це його справедлива вартість за вирахуванням витрат на продаж або вартість використання, в залежності від того, яка з них вища. Нефінансові активи, що піддалися знеціненню, на кожну звітну дату аналізуються на предмет можливого сторнування знецінення.</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u w:color="000000"/>
          <w:bdr w:val="nil"/>
          <w:lang w:val="uk-UA" w:eastAsia="ru-RU"/>
        </w:rPr>
      </w:pPr>
    </w:p>
    <w:p w:rsidR="00404857" w:rsidRPr="00404857" w:rsidRDefault="00404857" w:rsidP="00404857">
      <w:pPr>
        <w:pBdr>
          <w:top w:val="nil"/>
          <w:left w:val="nil"/>
          <w:bottom w:val="nil"/>
          <w:right w:val="nil"/>
          <w:between w:val="nil"/>
          <w:bar w:val="nil"/>
        </w:pBdr>
        <w:suppressAutoHyphens w:val="0"/>
        <w:ind w:firstLine="567"/>
        <w:jc w:val="both"/>
        <w:outlineLvl w:val="1"/>
        <w:rPr>
          <w:rFonts w:eastAsia="Arial Unicode MS" w:cs="Arial Unicode MS"/>
          <w:b/>
          <w:bCs/>
          <w:color w:val="000000"/>
          <w:u w:color="000000"/>
          <w:bdr w:val="nil"/>
          <w:lang w:val="uk-UA" w:eastAsia="ru-RU"/>
        </w:rPr>
      </w:pPr>
      <w:r w:rsidRPr="00404857">
        <w:rPr>
          <w:rFonts w:eastAsia="Arial Unicode MS" w:cs="Arial Unicode MS"/>
          <w:b/>
          <w:bCs/>
          <w:color w:val="000000"/>
          <w:u w:color="000000"/>
          <w:bdr w:val="nil"/>
          <w:lang w:val="uk-UA" w:eastAsia="ru-RU"/>
        </w:rPr>
        <w:t xml:space="preserve">МСБО 38 «Нематеріальні активи»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 Нематеріальні активи обліковуються та відображаються у фінансовій звітності Товариства у відповідності з МСБО 38. Нематеріальні активи придбані окремо, первісно визнаються за вартістю придбання. Нематеріальні активи визнаються як активи, що контролюються Товариством, не мають матеріальної форми, можуть бути ідентифіковані окремо від Товариства та використовуються протягом більше 1 року. Амортизація  нематеріальних активів починається з  місяця, наступного за місяцем, коли такий актив стає придатним до використання. Амортизація нараховується з використанням прямолінійного методу.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Якщо строк корисного використання відповідно до правовстановлюючого документа не встановлено, такий строк становить 10 років безперервної експлуатації нематеріального активу. Не визнаються активом, а підлягають відображенню у складі витрат того звітного періоду, в якому вони були здійснені: витрати на дослідження; витрати на підготовку і перепідготовку кадрів; витрати на створення, реорганізацію та переміщення Товариства або його частини; витрати на підвищення ділової репутації Товариства, вартість періодичних видань тощо.</w:t>
      </w:r>
    </w:p>
    <w:p w:rsidR="00404857" w:rsidRPr="00404857" w:rsidRDefault="00404857" w:rsidP="00404857">
      <w:pPr>
        <w:pBdr>
          <w:top w:val="nil"/>
          <w:left w:val="nil"/>
          <w:bottom w:val="nil"/>
          <w:right w:val="nil"/>
          <w:between w:val="nil"/>
          <w:bar w:val="nil"/>
        </w:pBdr>
        <w:suppressAutoHyphens w:val="0"/>
        <w:ind w:firstLine="567"/>
        <w:jc w:val="both"/>
        <w:outlineLvl w:val="1"/>
        <w:rPr>
          <w:rFonts w:eastAsia="Arial Unicode MS" w:cs="Arial Unicode MS"/>
          <w:b/>
          <w:bCs/>
          <w:color w:val="000000"/>
          <w:u w:color="000000"/>
          <w:bdr w:val="nil"/>
          <w:lang w:val="uk-UA" w:eastAsia="ru-RU"/>
        </w:rPr>
      </w:pPr>
    </w:p>
    <w:p w:rsidR="00404857" w:rsidRPr="00404857" w:rsidRDefault="00404857" w:rsidP="00404857">
      <w:pPr>
        <w:pBdr>
          <w:top w:val="nil"/>
          <w:left w:val="nil"/>
          <w:bottom w:val="nil"/>
          <w:right w:val="nil"/>
          <w:between w:val="nil"/>
          <w:bar w:val="nil"/>
        </w:pBdr>
        <w:suppressAutoHyphens w:val="0"/>
        <w:ind w:firstLine="567"/>
        <w:jc w:val="both"/>
        <w:outlineLvl w:val="1"/>
        <w:rPr>
          <w:rFonts w:eastAsia="Arial Unicode MS" w:cs="Arial Unicode MS"/>
          <w:b/>
          <w:bCs/>
          <w:color w:val="000000"/>
          <w:u w:color="000000"/>
          <w:bdr w:val="nil"/>
          <w:lang w:val="uk-UA" w:eastAsia="ru-RU"/>
        </w:rPr>
      </w:pPr>
      <w:r w:rsidRPr="00404857">
        <w:rPr>
          <w:rFonts w:eastAsia="Arial Unicode MS" w:cs="Arial Unicode MS"/>
          <w:b/>
          <w:bCs/>
          <w:color w:val="000000"/>
          <w:u w:color="000000"/>
          <w:bdr w:val="nil"/>
          <w:lang w:val="uk-UA" w:eastAsia="ru-RU"/>
        </w:rPr>
        <w:t>МСБО 2 «Запаси»</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Облік та відображення в фінансовій звітності запасів відбувається у відповідності з МСБО 2.</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Запаси обліковуються по однорідним групам (видам):</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     -     товари</w:t>
      </w:r>
    </w:p>
    <w:p w:rsidR="00404857" w:rsidRPr="00404857" w:rsidRDefault="00404857" w:rsidP="00404857">
      <w:pPr>
        <w:pBdr>
          <w:top w:val="nil"/>
          <w:left w:val="nil"/>
          <w:bottom w:val="nil"/>
          <w:right w:val="nil"/>
          <w:between w:val="nil"/>
          <w:bar w:val="nil"/>
        </w:pBdr>
        <w:tabs>
          <w:tab w:val="left" w:pos="993"/>
        </w:tabs>
        <w:suppressAutoHyphens w:val="0"/>
        <w:ind w:left="283" w:firstLine="567"/>
        <w:jc w:val="both"/>
        <w:rPr>
          <w:color w:val="000000"/>
          <w:sz w:val="22"/>
          <w:szCs w:val="22"/>
          <w:u w:color="000000"/>
          <w:bdr w:val="nil"/>
          <w:lang w:val="uk-UA" w:eastAsia="ru-RU"/>
        </w:rPr>
      </w:pPr>
      <w:r w:rsidRPr="00404857">
        <w:rPr>
          <w:color w:val="000000"/>
          <w:sz w:val="22"/>
          <w:szCs w:val="22"/>
          <w:u w:color="000000"/>
          <w:bdr w:val="nil"/>
          <w:lang w:val="uk-UA" w:eastAsia="ru-RU"/>
        </w:rPr>
        <w:t>-     основні та допоміжні виробничі запаси (канцелярські та офісні матеріали)</w:t>
      </w:r>
    </w:p>
    <w:p w:rsidR="00404857" w:rsidRPr="00404857" w:rsidRDefault="00404857" w:rsidP="00404857">
      <w:pPr>
        <w:numPr>
          <w:ilvl w:val="0"/>
          <w:numId w:val="30"/>
        </w:numPr>
        <w:pBdr>
          <w:top w:val="nil"/>
          <w:left w:val="nil"/>
          <w:bottom w:val="nil"/>
          <w:right w:val="nil"/>
          <w:between w:val="nil"/>
          <w:bar w:val="nil"/>
        </w:pBdr>
        <w:suppressAutoHyphens w:val="0"/>
        <w:spacing w:after="200" w:line="276" w:lineRule="auto"/>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незавершене виробництво</w:t>
      </w:r>
    </w:p>
    <w:p w:rsidR="00404857" w:rsidRPr="00404857" w:rsidRDefault="00404857" w:rsidP="00404857">
      <w:pPr>
        <w:numPr>
          <w:ilvl w:val="0"/>
          <w:numId w:val="30"/>
        </w:numPr>
        <w:pBdr>
          <w:top w:val="nil"/>
          <w:left w:val="nil"/>
          <w:bottom w:val="nil"/>
          <w:right w:val="nil"/>
          <w:between w:val="nil"/>
          <w:bar w:val="nil"/>
        </w:pBdr>
        <w:suppressAutoHyphens w:val="0"/>
        <w:spacing w:after="200" w:line="276" w:lineRule="auto"/>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готова продукція</w:t>
      </w:r>
    </w:p>
    <w:p w:rsidR="00404857" w:rsidRPr="00404857" w:rsidRDefault="00404857" w:rsidP="00404857">
      <w:pPr>
        <w:numPr>
          <w:ilvl w:val="0"/>
          <w:numId w:val="30"/>
        </w:numPr>
        <w:pBdr>
          <w:top w:val="nil"/>
          <w:left w:val="nil"/>
          <w:bottom w:val="nil"/>
          <w:right w:val="nil"/>
          <w:between w:val="nil"/>
          <w:bar w:val="nil"/>
        </w:pBdr>
        <w:suppressAutoHyphens w:val="0"/>
        <w:spacing w:after="200" w:line="276" w:lineRule="auto"/>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інше</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Собівартість придбаних у третіх осіб запасів складається з вартості придбання та інших витрат, безпосередньо пов’язаних з їх придбанням. Товариство застосовує  метод ФІФО оцінки запасів при їх вибутті або передачі у виробництво. Запаси відображаються у фінансовій звітності по найменшій з двох оцінок: собівартості або чистої вартості реалізації. Чиста вартість реалізації визначається індивідуально для кожного найменування продукції з врахуванням маркетингової політики Товариства.</w:t>
      </w:r>
    </w:p>
    <w:p w:rsidR="00404857" w:rsidRPr="00404857" w:rsidRDefault="00404857" w:rsidP="00404857">
      <w:pPr>
        <w:pBdr>
          <w:top w:val="nil"/>
          <w:left w:val="nil"/>
          <w:bottom w:val="nil"/>
          <w:right w:val="nil"/>
          <w:between w:val="nil"/>
          <w:bar w:val="nil"/>
        </w:pBdr>
        <w:suppressAutoHyphens w:val="0"/>
        <w:ind w:firstLine="567"/>
        <w:jc w:val="both"/>
        <w:outlineLvl w:val="1"/>
        <w:rPr>
          <w:rFonts w:eastAsia="Arial Unicode MS" w:cs="Arial Unicode MS"/>
          <w:b/>
          <w:bCs/>
          <w:color w:val="000000"/>
          <w:u w:color="000000"/>
          <w:bdr w:val="nil"/>
          <w:lang w:val="uk-UA" w:eastAsia="ru-RU"/>
        </w:rPr>
      </w:pPr>
    </w:p>
    <w:p w:rsidR="00404857" w:rsidRPr="00404857" w:rsidRDefault="00404857" w:rsidP="00404857">
      <w:pPr>
        <w:pBdr>
          <w:top w:val="nil"/>
          <w:left w:val="nil"/>
          <w:bottom w:val="nil"/>
          <w:right w:val="nil"/>
          <w:between w:val="nil"/>
          <w:bar w:val="nil"/>
        </w:pBdr>
        <w:suppressAutoHyphens w:val="0"/>
        <w:ind w:firstLine="567"/>
        <w:jc w:val="both"/>
        <w:outlineLvl w:val="1"/>
        <w:rPr>
          <w:rFonts w:eastAsia="Arial Unicode MS" w:cs="Arial Unicode MS"/>
          <w:b/>
          <w:bCs/>
          <w:color w:val="000000"/>
          <w:u w:color="000000"/>
          <w:bdr w:val="nil"/>
          <w:lang w:val="uk-UA" w:eastAsia="ru-RU"/>
        </w:rPr>
      </w:pPr>
      <w:r w:rsidRPr="00404857">
        <w:rPr>
          <w:rFonts w:eastAsia="Arial Unicode MS" w:cs="Arial Unicode MS"/>
          <w:b/>
          <w:bCs/>
          <w:color w:val="000000"/>
          <w:u w:color="000000"/>
          <w:bdr w:val="nil"/>
          <w:lang w:val="uk-UA" w:eastAsia="ru-RU"/>
        </w:rPr>
        <w:t>Дебіторська заборгованість</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Дебіторська заборгованість  - це договірні вимоги, що пред’являються покупцям та іншим особам на отримання грошових коштів, товарів або послуг, це фінансовий актив.  Дебіторська заборгованість визнається у Звіті про фінансовий стан тоді  і лише тоді, коли Товариство стає стороною контрактних відношень щодо цього інструменту. Для цілей фінансової звітності дебіторська заборгованість класифікується як </w:t>
      </w:r>
      <w:r w:rsidRPr="00404857">
        <w:rPr>
          <w:rFonts w:eastAsia="Arial Unicode MS" w:cs="Arial Unicode MS"/>
          <w:b/>
          <w:bCs/>
          <w:color w:val="000000"/>
          <w:sz w:val="22"/>
          <w:szCs w:val="22"/>
          <w:u w:color="000000"/>
          <w:bdr w:val="nil"/>
          <w:lang w:val="uk-UA" w:eastAsia="ru-RU"/>
        </w:rPr>
        <w:t xml:space="preserve">поточна </w:t>
      </w:r>
      <w:r w:rsidRPr="00404857">
        <w:rPr>
          <w:rFonts w:eastAsia="Arial Unicode MS" w:cs="Arial Unicode MS"/>
          <w:color w:val="000000"/>
          <w:sz w:val="22"/>
          <w:szCs w:val="22"/>
          <w:u w:color="000000"/>
          <w:bdr w:val="nil"/>
          <w:lang w:val="uk-UA" w:eastAsia="ru-RU"/>
        </w:rPr>
        <w:t xml:space="preserve">(отримання очікується протягом поточного року або операційного циклу) або як </w:t>
      </w:r>
      <w:r w:rsidRPr="00404857">
        <w:rPr>
          <w:rFonts w:eastAsia="Arial Unicode MS" w:cs="Arial Unicode MS"/>
          <w:b/>
          <w:bCs/>
          <w:color w:val="000000"/>
          <w:sz w:val="22"/>
          <w:szCs w:val="22"/>
          <w:u w:color="000000"/>
          <w:bdr w:val="nil"/>
          <w:lang w:val="uk-UA" w:eastAsia="ru-RU"/>
        </w:rPr>
        <w:t>довгострокова</w:t>
      </w:r>
      <w:r w:rsidRPr="00404857">
        <w:rPr>
          <w:rFonts w:eastAsia="Arial Unicode MS" w:cs="Arial Unicode MS"/>
          <w:color w:val="000000"/>
          <w:sz w:val="22"/>
          <w:szCs w:val="22"/>
          <w:u w:color="000000"/>
          <w:bdr w:val="nil"/>
          <w:lang w:val="uk-UA" w:eastAsia="ru-RU"/>
        </w:rPr>
        <w:t xml:space="preserve">  (дебіторська заборгованість, яка не може бути класифікована як поточна). Первинне визнання дебіторської заборгованості відбувається по справедливій вартості переданих активів, яка дорівнює вартості погашення, тобто сумі очікуваних контрактних грошових потоків на дату оцінки..</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В фінансовій звітності короткострокова дебіторська заборгованість оцінюється та відображається за чистою вартістю реалізації. Чиста вартість реалізації дебіторської заборгованості оцінюється враховуючи представлені знижки, повернення товарів та безнадійної заборгованості. </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Довгострокова дебіторська заборгованість (крім відстроченого податку на прибуток) обліковується в залежності від її виду за амортизаційною або дисконтованою вартістю ( амортизована собівартість із застосуванням методу ефективного відсотка).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Безнадійною визнається заборгованість, якщо існує впевненість у її неповерненні боржником і  відповідає одному з відзнак:</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а) заборгованість за зобов’язаннями, щодо яких минув строк позовної давності;</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bookmarkStart w:id="25" w:name="n10437"/>
      <w:r w:rsidRPr="00404857">
        <w:rPr>
          <w:rFonts w:eastAsia="Arial Unicode MS" w:cs="Arial Unicode MS"/>
          <w:color w:val="000000"/>
          <w:sz w:val="22"/>
          <w:szCs w:val="22"/>
          <w:u w:color="000000"/>
          <w:bdr w:val="nil"/>
          <w:lang w:val="uk-UA" w:eastAsia="ru-RU"/>
        </w:rPr>
        <w:t>б) прострочена заборгованість померлої фізичної особи, за відсутності у неї спадкового майна, на яке може бути звернено стягнення;</w:t>
      </w:r>
      <w:bookmarkEnd w:id="25"/>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bookmarkStart w:id="26" w:name="n10438"/>
      <w:r w:rsidRPr="00404857">
        <w:rPr>
          <w:rFonts w:eastAsia="Arial Unicode MS" w:cs="Arial Unicode MS"/>
          <w:color w:val="000000"/>
          <w:sz w:val="22"/>
          <w:szCs w:val="22"/>
          <w:u w:color="000000"/>
          <w:bdr w:val="nil"/>
          <w:lang w:val="uk-UA" w:eastAsia="ru-RU"/>
        </w:rPr>
        <w:lastRenderedPageBreak/>
        <w:t>в) прострочена заборгованість осіб, які у судовому порядку визнані безвісно відсутніми, оголошені померлими;</w:t>
      </w:r>
      <w:bookmarkEnd w:id="26"/>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bookmarkStart w:id="27" w:name="n10439"/>
      <w:r w:rsidRPr="00404857">
        <w:rPr>
          <w:rFonts w:eastAsia="Arial Unicode MS" w:cs="Arial Unicode MS"/>
          <w:color w:val="000000"/>
          <w:sz w:val="22"/>
          <w:szCs w:val="22"/>
          <w:u w:color="000000"/>
          <w:bdr w:val="nil"/>
          <w:lang w:val="uk-UA" w:eastAsia="ru-RU"/>
        </w:rPr>
        <w:t>г) заборгованість фізичних осіб, прощена кредитором, за винятком заборгованості осіб, пов’язаних з таким кредитором, та осіб, які перебувають з таким кредитором у трудових відносинах</w:t>
      </w:r>
      <w:bookmarkStart w:id="28" w:name="n10440"/>
      <w:bookmarkEnd w:id="27"/>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прострочена понад 180 днів заборгованість особи, розмір сукупних вимог кредитора за якою не перевищує мінімально встановленого законодавством розміру безспірних вимог кредитора для порушення провадження у справі про банкрутство, а для фізичних осіб - заборгованість, що не перевищує 25 відсотків мінімальної заробітної плати (у розрахунку на рік), встановленої на 1 січня звітного податкового року (у разі відсутності законодавчо затвердженої процедури банкрутства фізичних осіб);</w:t>
      </w:r>
      <w:bookmarkEnd w:id="28"/>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bookmarkStart w:id="29" w:name="n10441"/>
      <w:r w:rsidRPr="00404857">
        <w:rPr>
          <w:rFonts w:eastAsia="Arial Unicode MS" w:cs="Arial Unicode MS"/>
          <w:color w:val="000000"/>
          <w:sz w:val="22"/>
          <w:szCs w:val="22"/>
          <w:u w:color="000000"/>
          <w:bdr w:val="nil"/>
          <w:lang w:val="uk-UA" w:eastAsia="ru-RU"/>
        </w:rPr>
        <w:t>д) актив у вигляді корпоративних прав або не боргових цінних паперів, емітента яких визнано банкрутом або припинено як юридичну особу у зв’язку з його ліквідацією;</w:t>
      </w:r>
      <w:bookmarkEnd w:id="29"/>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bookmarkStart w:id="30" w:name="n10442"/>
      <w:r w:rsidRPr="00404857">
        <w:rPr>
          <w:rFonts w:eastAsia="Arial Unicode MS" w:cs="Arial Unicode MS"/>
          <w:color w:val="000000"/>
          <w:sz w:val="22"/>
          <w:szCs w:val="22"/>
          <w:u w:color="000000"/>
          <w:bdr w:val="nil"/>
          <w:lang w:val="uk-UA" w:eastAsia="ru-RU"/>
        </w:rPr>
        <w:t>е) сума залишкового призового фонду лотереї станом на 31 грудня кожного року;</w:t>
      </w:r>
      <w:bookmarkEnd w:id="30"/>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bookmarkStart w:id="31" w:name="n10443"/>
      <w:r w:rsidRPr="00404857">
        <w:rPr>
          <w:rFonts w:eastAsia="Arial Unicode MS" w:cs="Arial Unicode MS"/>
          <w:color w:val="000000"/>
          <w:sz w:val="22"/>
          <w:szCs w:val="22"/>
          <w:u w:color="000000"/>
          <w:bdr w:val="nil"/>
          <w:lang w:val="uk-UA" w:eastAsia="ru-RU"/>
        </w:rPr>
        <w:t>є) прострочена заборгованість фізичної або юридичної особи, не погашена внаслідок недостатності майна зазначеної особи, за умови, що дії щодо примусового стягнення майна боржника не призвели до повного погашення заборгованості;</w:t>
      </w:r>
      <w:bookmarkEnd w:id="31"/>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bookmarkStart w:id="32" w:name="n10444"/>
      <w:r w:rsidRPr="00404857">
        <w:rPr>
          <w:rFonts w:eastAsia="Arial Unicode MS" w:cs="Arial Unicode MS"/>
          <w:color w:val="000000"/>
          <w:sz w:val="22"/>
          <w:szCs w:val="22"/>
          <w:u w:color="000000"/>
          <w:bdr w:val="nil"/>
          <w:lang w:val="uk-UA" w:eastAsia="ru-RU"/>
        </w:rPr>
        <w:t>ж) заборгованість, стягнення якої стало неможливим у зв’язку з дією обставин непереборної сили, стихійного лиха (форс-мажорних обставин), підтверджених у порядку, передбаченому законодавством;</w:t>
      </w:r>
      <w:bookmarkEnd w:id="32"/>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bookmarkStart w:id="33" w:name="n12577"/>
      <w:r w:rsidRPr="00404857">
        <w:rPr>
          <w:rFonts w:eastAsia="Arial Unicode MS" w:cs="Arial Unicode MS"/>
          <w:color w:val="000000"/>
          <w:sz w:val="22"/>
          <w:szCs w:val="22"/>
          <w:u w:color="000000"/>
          <w:bdr w:val="nil"/>
          <w:lang w:val="uk-UA" w:eastAsia="ru-RU"/>
        </w:rPr>
        <w:t>з) заборгованість суб’єктів господарювання, визнаних банкрутами у встановленому законом порядку або припинених як юридичні особи у зв’язку з їх ліквідацією;</w:t>
      </w:r>
      <w:bookmarkEnd w:id="33"/>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и) борг пробачено у т.ч. за умовами мирової</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і) подано позов до суду про стягнення заборгованості з контрагента, але суд його відхилив</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Сумнівною визнається заборгованість за професійним судженням керівництва та бухгалтера, щодо якої існує невпевненість у її погашенні боржником, залежить від обставин (боржник не виконує своїх зобов’язань у встановлений договором строк (більше 1 року) , не відповідає на претензію або відхиляє її та інш.).</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Зменшення корисності активів для дебіторської заборгованості, яка є фінансовим активом, може бути </w:t>
      </w:r>
      <w:r w:rsidRPr="00404857">
        <w:rPr>
          <w:rFonts w:eastAsia="Arial Unicode MS" w:cs="Arial Unicode MS"/>
          <w:b/>
          <w:bCs/>
          <w:i/>
          <w:iCs/>
          <w:color w:val="000000"/>
          <w:sz w:val="22"/>
          <w:szCs w:val="22"/>
          <w:u w:color="000000"/>
          <w:bdr w:val="nil"/>
          <w:lang w:val="uk-UA" w:eastAsia="ru-RU"/>
        </w:rPr>
        <w:t>двома шляхами</w:t>
      </w:r>
      <w:r w:rsidRPr="00404857">
        <w:rPr>
          <w:rFonts w:eastAsia="Arial Unicode MS" w:cs="Arial Unicode MS"/>
          <w:color w:val="000000"/>
          <w:sz w:val="22"/>
          <w:szCs w:val="22"/>
          <w:u w:color="000000"/>
          <w:bdr w:val="nil"/>
          <w:lang w:val="uk-UA" w:eastAsia="ru-RU"/>
        </w:rPr>
        <w:t>:  прямим списанням частини дебіторської заборгованості  на витрати або через попереднє створення резерву.</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А) якщо Товариство приймає рішення не створювати резерв під знецінення фінансової  дебіторської заборгованості , списання суми знецінення боргу проводиться напряму </w:t>
      </w:r>
      <w:r w:rsidRPr="00404857">
        <w:rPr>
          <w:rFonts w:eastAsia="Arial Unicode MS" w:cs="Arial Unicode MS"/>
          <w:b/>
          <w:bCs/>
          <w:color w:val="000000"/>
          <w:sz w:val="22"/>
          <w:szCs w:val="22"/>
          <w:u w:color="000000"/>
          <w:bdr w:val="nil"/>
          <w:lang w:val="uk-UA" w:eastAsia="ru-RU"/>
        </w:rPr>
        <w:t>через витрати</w:t>
      </w:r>
      <w:r w:rsidRPr="00404857">
        <w:rPr>
          <w:rFonts w:eastAsia="Arial Unicode MS" w:cs="Arial Unicode MS"/>
          <w:color w:val="000000"/>
          <w:sz w:val="22"/>
          <w:szCs w:val="22"/>
          <w:u w:color="000000"/>
          <w:bdr w:val="nil"/>
          <w:lang w:val="uk-UA" w:eastAsia="ru-RU"/>
        </w:rPr>
        <w:t xml:space="preserve"> за фактом знецінення без створення резерву,</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Б) якщо Товариство приймає рішення  по поточній дебіторській заборгованості, яка є фінансовим активом (крім придбаної заборгованості та заборгованості, призначеної для продажу), включати до підсумку балансу за чистою реалізаційною вартістю і для визначення чистої реалізаційної вартості на дату балансу обчислювати  резерв під знецінення (аналог  резерву сумнівних боргів).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Величина резерву сумнівних боргів визначається за одним із методів: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b/>
          <w:bCs/>
          <w:color w:val="000000"/>
          <w:sz w:val="22"/>
          <w:szCs w:val="22"/>
          <w:u w:color="000000"/>
          <w:bdr w:val="nil"/>
          <w:lang w:val="uk-UA" w:eastAsia="ru-RU"/>
        </w:rPr>
      </w:pPr>
      <w:r w:rsidRPr="00404857">
        <w:rPr>
          <w:rFonts w:eastAsia="Arial Unicode MS" w:cs="Arial Unicode MS"/>
          <w:b/>
          <w:bCs/>
          <w:color w:val="000000"/>
          <w:sz w:val="22"/>
          <w:szCs w:val="22"/>
          <w:u w:color="000000"/>
          <w:bdr w:val="nil"/>
          <w:lang w:val="uk-UA" w:eastAsia="ru-RU"/>
        </w:rPr>
        <w:t>застосування абсолютної суми сумнівної заборгованості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застосування коефіцієнта сумнівності.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Під різні види дебіторської заборгованості можуть  застосовуватися різні методи  розрахунку резерву.</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Для визначення величини резерву аналізується заборгованість споживачів з терміном непогашення понад 12 місяців. Нарахування суми резерву сумнівних боргів за звітний період відображається у звіті про фінансові результати у складі інших операційних витрат.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 Виключення безнадійної дебіторської заборгованості з активів здійснюється з одночасним зменшенням величини резерву сумнівних боргів. У разі недостатності суми нарахованого резерву сумнівних боргів безнадійна дебіторська заборгованість списується з активів на інші операційні витрати. Сума відшкодування раніше списаної безнадійної дебіторської заборгованості включається до складу інших операційних доходів.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ab/>
        <w:t xml:space="preserve">Поточна дебіторська заборгованість, щодо якої створення резерву сумнівних боргів не передбачено, у разі визнання її безнадійною списується з балансу з відображенням у складі інших операційних витрат.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Частина довгострокової дебіторської заборгованості, яка підлягає погашенню протягом дванадцяти місяців з дати балансу, відображається на ту саму дату в складі поточної дебіторської заборгованості.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ab/>
        <w:t xml:space="preserve">Довгострокова дебіторська заборгованість, на яку нараховуються проценти, відображається в балансі за їхньою теперішньою вартістю. Визначення теперішньої вартості залежить від виду заборгованості та умов її погашення. </w:t>
      </w:r>
    </w:p>
    <w:p w:rsidR="00404857" w:rsidRPr="00404857" w:rsidRDefault="00404857" w:rsidP="00404857">
      <w:pPr>
        <w:pBdr>
          <w:top w:val="nil"/>
          <w:left w:val="nil"/>
          <w:bottom w:val="nil"/>
          <w:right w:val="nil"/>
          <w:between w:val="nil"/>
          <w:bar w:val="nil"/>
        </w:pBdr>
        <w:suppressAutoHyphens w:val="0"/>
        <w:ind w:firstLine="567"/>
        <w:jc w:val="both"/>
        <w:outlineLvl w:val="1"/>
        <w:rPr>
          <w:rFonts w:eastAsia="Arial Unicode MS" w:cs="Arial Unicode MS"/>
          <w:b/>
          <w:bCs/>
          <w:color w:val="000000"/>
          <w:u w:color="000000"/>
          <w:bdr w:val="nil"/>
          <w:lang w:val="uk-UA" w:eastAsia="ru-RU"/>
        </w:rPr>
      </w:pPr>
      <w:r w:rsidRPr="00404857">
        <w:rPr>
          <w:rFonts w:eastAsia="Arial Unicode MS" w:cs="Arial Unicode MS"/>
          <w:b/>
          <w:bCs/>
          <w:color w:val="000000"/>
          <w:u w:color="000000"/>
          <w:bdr w:val="nil"/>
          <w:lang w:val="uk-UA" w:eastAsia="ru-RU"/>
        </w:rPr>
        <w:t xml:space="preserve">МСБО 18 «Виручка»   </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b/>
          <w:bCs/>
          <w:color w:val="000000"/>
          <w:u w:color="000000"/>
          <w:bdr w:val="nil"/>
          <w:lang w:val="uk-UA" w:eastAsia="ru-RU"/>
        </w:rPr>
      </w:pPr>
      <w:r w:rsidRPr="00404857">
        <w:rPr>
          <w:rFonts w:eastAsia="Arial Unicode MS" w:cs="Arial Unicode MS"/>
          <w:b/>
          <w:bCs/>
          <w:color w:val="000000"/>
          <w:u w:color="000000"/>
          <w:bdr w:val="nil"/>
          <w:lang w:val="uk-UA" w:eastAsia="ru-RU"/>
        </w:rPr>
        <w:t xml:space="preserve">Визнання доходів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Дохід - це збільшення економічних вигід протягом облікового періоду у вигляді надходження чи збільшення корисності активів або у вигляді зменшення зобов’язань, результатом чого є збільшення чистих активів, за винятком збільшення, пов’язаного з внесками учасників. Тривалість операційного циклу на Товаристві - до підписання актів виконаних робіт, послуг, але не більше одного календарного року.</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lastRenderedPageBreak/>
        <w:t xml:space="preserve">Критерії визнання доходу застосовуються окремо до кожної операції. Проте ці критерії потрібно застосовувати до окремих елементів однієї операції або до двох чи більше операцій разом, якщо це випливає із суті такої господарської операції (операцій).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u w:color="000000"/>
          <w:bdr w:val="nil"/>
          <w:lang w:val="uk-UA" w:eastAsia="ru-RU"/>
        </w:rPr>
      </w:pPr>
      <w:r w:rsidRPr="00404857">
        <w:rPr>
          <w:color w:val="000000"/>
          <w:sz w:val="22"/>
          <w:szCs w:val="22"/>
          <w:u w:color="000000"/>
          <w:bdr w:val="nil"/>
          <w:lang w:val="uk-UA" w:eastAsia="ru-RU"/>
        </w:rPr>
        <w:t>Дохід (виручка)  від реалізації товарів, робіт, послуг визнається в разі наявності всіх наведених</w:t>
      </w:r>
      <w:r w:rsidRPr="00404857">
        <w:rPr>
          <w:color w:val="000000"/>
          <w:u w:color="000000"/>
          <w:bdr w:val="nil"/>
          <w:lang w:val="uk-UA" w:eastAsia="ru-RU"/>
        </w:rPr>
        <w:t xml:space="preserve"> нижче умов на основі </w:t>
      </w:r>
      <w:r w:rsidRPr="00404857">
        <w:rPr>
          <w:b/>
          <w:bCs/>
          <w:color w:val="000000"/>
          <w:u w:color="000000"/>
          <w:bdr w:val="nil"/>
          <w:lang w:val="uk-UA" w:eastAsia="ru-RU"/>
        </w:rPr>
        <w:t>принципу нарахування</w:t>
      </w:r>
      <w:r w:rsidRPr="00404857">
        <w:rPr>
          <w:color w:val="000000"/>
          <w:u w:color="000000"/>
          <w:bdr w:val="nil"/>
          <w:lang w:val="uk-UA" w:eastAsia="ru-RU"/>
        </w:rPr>
        <w:t xml:space="preserve">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 покупцеві передані ризики й вигоди, пов'язані з правом власності на продукцію (товар, інший актив);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 Товариство не здійснює надалі управління та контроль за реалізованою продукцією (товарами, іншими активами);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 сума доходу (виручка) може бути достовірно визначена;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-є впевненість, що в результаті операції відбудеться збільшення економічних вигод Товариства, а</w:t>
      </w:r>
      <w:r w:rsidRPr="00404857">
        <w:rPr>
          <w:color w:val="000000"/>
          <w:sz w:val="20"/>
          <w:szCs w:val="20"/>
          <w:u w:color="000000"/>
          <w:bdr w:val="nil"/>
          <w:lang w:val="uk-UA" w:eastAsia="ru-RU"/>
        </w:rPr>
        <w:t xml:space="preserve"> витрати, </w:t>
      </w:r>
      <w:r w:rsidRPr="00404857">
        <w:rPr>
          <w:color w:val="000000"/>
          <w:sz w:val="22"/>
          <w:szCs w:val="22"/>
          <w:u w:color="000000"/>
          <w:bdr w:val="nil"/>
          <w:lang w:val="uk-UA" w:eastAsia="ru-RU"/>
        </w:rPr>
        <w:t xml:space="preserve">пов'язані з цією операцією, можуть бути достовірно визначені.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можна достовірно оцінити ступінь завершеності операції на кінець звітного періоду</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 можна достовірно оцінити витрати, понесені у зв’язку з операцією, та витрати, необхідні для її завершення. Для оцінки ступеню завершеності операції використовується метод огляду виконаної роботи.  Оцінку ступеня завершеності операції з надання послуг (виконання робіт) здійснюється шляхом вивчення ступеню виконаної роботи на дату балансу, якщо його можна достовірно оцінити, при цьому в бухгалтерському обліку доходи відображаються у звітному періоді підписання акта про надані послуги (виконані роботи). Оцінка ступеня завершеності операції з надання послуг проводиться  шляхом вивченням виконаної роботи, визначенням питомої ваги обсягу послуг, наданих на певну дату, у загальному обсязі послуг, які мають бути надані, визначенням питомої ваги витрат, яких зазнає Товариство  у зв'язку із наданням послуг, у загальній очікуваній сумі таких витрат. Сума витрат, здійснених на певну дату, включає тільки ті витрати, які відображають обсяг наданих послуг на цю саму дату.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 Якщо послуги полягають у виконанні невизначеної кількості дій (операцій) за визначений період часу, то дохід визначається шляхом рівномірного його нарахування за цей період (крім випадків,</w:t>
      </w:r>
      <w:r w:rsidRPr="00404857">
        <w:rPr>
          <w:color w:val="000000"/>
          <w:sz w:val="20"/>
          <w:szCs w:val="20"/>
          <w:u w:color="000000"/>
          <w:bdr w:val="nil"/>
          <w:lang w:val="uk-UA" w:eastAsia="ru-RU"/>
        </w:rPr>
        <w:t xml:space="preserve"> коли інший метод </w:t>
      </w:r>
      <w:r w:rsidRPr="00404857">
        <w:rPr>
          <w:color w:val="000000"/>
          <w:sz w:val="22"/>
          <w:szCs w:val="22"/>
          <w:u w:color="000000"/>
          <w:bdr w:val="nil"/>
          <w:lang w:val="uk-UA" w:eastAsia="ru-RU"/>
        </w:rPr>
        <w:t xml:space="preserve">краще визначає ступінь завершеності надання послуг).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 Якщо дохід (виручка) від надання послуг не може бути достовірно визначений, то він відображається в бухгалтерському обліку в розмірі визначених витрат, що підлягають відшкодуванню.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 Якщо дохід (виручка) від надання послуг не може бути достовірно оцінений і не існує імовірності відшкодування зазнаних витрат, то дохід не визнається, а зазнані витрати визнаються витратами звітного періоду. Якщо надалі сума доходу буде достовірно оцінена, то дохід визнається за такою оцінкою.</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 Дохід від реалізації цінних паперів (які для Товариства є товаром) визнається тоді, коли фактично відбувся перехід від продавця до покупця значних ризиків, вигід та контроль над активами (право власності передано) та дохід відповідає всім критеріям визнання.  У відповідності з МСБО 18, МСБО32 та МСБО39.</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b/>
          <w:bCs/>
          <w:color w:val="000000"/>
          <w:u w:color="000000"/>
          <w:bdr w:val="nil"/>
          <w:lang w:val="uk-UA" w:eastAsia="ru-RU"/>
        </w:rPr>
        <w:t>Особливих вимог визнання доходу від реалізації товарів відповідно з політикою Товариства не визначено.</w:t>
      </w:r>
      <w:r w:rsidRPr="00404857">
        <w:rPr>
          <w:color w:val="000000"/>
          <w:u w:color="000000"/>
          <w:bdr w:val="nil"/>
          <w:lang w:val="uk-UA" w:eastAsia="ru-RU"/>
        </w:rPr>
        <w:t xml:space="preserve"> </w:t>
      </w:r>
      <w:r w:rsidRPr="00404857">
        <w:rPr>
          <w:color w:val="000000"/>
          <w:sz w:val="22"/>
          <w:szCs w:val="22"/>
          <w:u w:color="000000"/>
          <w:bdr w:val="nil"/>
          <w:lang w:val="uk-UA" w:eastAsia="ru-RU"/>
        </w:rPr>
        <w:t xml:space="preserve">В разі надання Товариством послуг по виконанню робіт, обумовлених контрактом, протягом  узгодженого періоду, доходи визнаються у тому звітному періоді, в якому надані послуги.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Дохід визнається у Звіті про прибутки та збитки  за умови відповідності визначенню та критеріям визнання. Визнання доходу відбувається одночасно з визнанням збільшення активів або зменшення зобов’язання.</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Не визнаються доходами такі надходження від інших осіб: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 Сума податку на додану вартість, акцизів, інших податків і обов'язкових платежів, що підлягають перерахуванню до бюджету й позабюджетних фондів.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 Сума надходжень за договором комісії, агентським та іншим аналогічним договором на користь комітента, принципала тощо.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-Сума попередньої оплати (аванса)  в рахунок оплати  продукції (товарів, робіт, послуг).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 Сума завдатку під заставу або в погашення позики, якщо це передбачено відповідним договором.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-Надходження, що належать іншим особам.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 Надходження від первинного розміщення цінних паперів.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-Сума балансової вартості валюти.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Визнані доходи класифікуються в бухгалтерському обліку за такими групами: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а) дохід (виручка) від реалізації продукції (товарів, робіт, послуг);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б) інші операційні доходи;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в) фінансові доходи;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г) інші доходи;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д) надзвичайні доходи.</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Визначений дохід (виручка) від реалізації продукції (товарів, робіт, послуг) не коригується на величину пов'язаної з ним сумнівної та безнадійної дебіторської заборгованості. Сума такої заборгованості визнається витратами Товариства згідно МСФЗ.Процентний дохід визнається у тому періоді, до якого від належить </w:t>
      </w:r>
      <w:r w:rsidRPr="00404857">
        <w:rPr>
          <w:color w:val="000000"/>
          <w:sz w:val="22"/>
          <w:szCs w:val="22"/>
          <w:u w:color="000000"/>
          <w:bdr w:val="nil"/>
          <w:lang w:val="uk-UA" w:eastAsia="ru-RU"/>
        </w:rPr>
        <w:lastRenderedPageBreak/>
        <w:t xml:space="preserve">виходячи з принципу нарахування та коли встановлено право на отримання. Дохід, який виникає в результаті використання активів Товариства іншими сторонами, визнається у вигляді процентів, роялті та дивідендів, якщо: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-імовірне надходження економічних вигод, пов'язаних з такою операцією;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-дохід може бути достовірно оцінений.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Такий дохід має визнаватися у такому порядку: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-проценти визнаються у тому звітному періоді, до якого вони належать, виходячи з бази їх нарахування та строку користування відповідними активами;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-роялті визнаються за принципом нарахування згідно з економічним змістом відповідної угоди;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color w:val="000000"/>
          <w:sz w:val="22"/>
          <w:szCs w:val="22"/>
          <w:u w:color="000000"/>
          <w:bdr w:val="nil"/>
          <w:lang w:val="uk-UA" w:eastAsia="ru-RU"/>
        </w:rPr>
        <w:t xml:space="preserve">-дивіденди визнаються у періоді прийняття рішення про їх виплату. </w:t>
      </w:r>
    </w:p>
    <w:p w:rsidR="00404857" w:rsidRPr="00404857" w:rsidRDefault="00404857" w:rsidP="00404857">
      <w:pPr>
        <w:pBdr>
          <w:top w:val="nil"/>
          <w:left w:val="nil"/>
          <w:bottom w:val="nil"/>
          <w:right w:val="nil"/>
          <w:between w:val="nil"/>
          <w:bar w:val="nil"/>
        </w:pBdr>
        <w:tabs>
          <w:tab w:val="left" w:pos="993"/>
        </w:tabs>
        <w:suppressAutoHyphens w:val="0"/>
        <w:ind w:firstLine="567"/>
        <w:jc w:val="both"/>
        <w:rPr>
          <w:color w:val="000000"/>
          <w:sz w:val="22"/>
          <w:szCs w:val="22"/>
          <w:u w:color="000000"/>
          <w:bdr w:val="nil"/>
          <w:lang w:val="uk-UA" w:eastAsia="ru-RU"/>
        </w:rPr>
      </w:pPr>
      <w:r w:rsidRPr="00404857">
        <w:rPr>
          <w:rFonts w:ascii="Arial Unicode MS" w:hAnsi="Arial Unicode MS"/>
          <w:color w:val="000000"/>
          <w:u w:color="000000"/>
          <w:bdr w:val="nil"/>
          <w:lang w:val="uk-UA" w:eastAsia="ru-RU"/>
        </w:rPr>
        <w:br/>
      </w:r>
      <w:r w:rsidRPr="00404857">
        <w:rPr>
          <w:b/>
          <w:bCs/>
          <w:color w:val="000000"/>
          <w:u w:color="000000"/>
          <w:bdr w:val="nil"/>
          <w:lang w:val="uk-UA" w:eastAsia="ru-RU"/>
        </w:rPr>
        <w:t>Визнання витрат</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Витрати – це зменшення економічних вигід протягом облікового періоду у вигляді вибуття чи амортизації  активів або у вигляді виникнення зобов’язань, результатом чого є зменшення чистих активів, за винятком зменшення, пов’язаного з виплатами учасникам. Тривалість операційного циклу на Товаристві - до підписання актів виконаних робіт, послуг, але не більше одного календарного року.</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Витрати визнаються у Звіті про прибутки та збитки витратами певного періоду за умови відповідності визначенню та  одночасно з визнанням збільшення зобов’язань або зменшення активів. Витрати, понесені у зв’язку з отриманням доходу, визнаються у тому ж періоді, що й відповідні доходи, для яких вони були здійснені. Витрати які не можливо прямо пов’язати з доходом певного періоду, відображаються у складі витрат того звітного періоду, в якому вони були здійснені.</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Не визнаються витратами й не включаються до звіту про фінансові результати: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Платежі за договорами комісії, агентськими угодами та іншими аналогічними договорами на користь комітента, принципала тощо.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Попередня (авансова) оплата запасів, робіт, послуг.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Погашення одержаних позик.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Інші зменшення активів або збільшення зобов'язань, що не відповідають ознакам, наведеним у МСФЗ.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Витрати, які відображаються зменшенням власного капіталу відповідно до МСФЗ.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Балансова вартість валюти. </w:t>
      </w:r>
    </w:p>
    <w:p w:rsidR="00404857" w:rsidRPr="00404857" w:rsidRDefault="00404857" w:rsidP="00404857">
      <w:pPr>
        <w:keepNext/>
        <w:pBdr>
          <w:top w:val="nil"/>
          <w:left w:val="nil"/>
          <w:bottom w:val="nil"/>
          <w:right w:val="nil"/>
          <w:between w:val="nil"/>
          <w:bar w:val="nil"/>
        </w:pBdr>
        <w:suppressAutoHyphens w:val="0"/>
        <w:spacing w:line="240" w:lineRule="atLeast"/>
        <w:ind w:firstLine="567"/>
        <w:jc w:val="center"/>
        <w:outlineLvl w:val="5"/>
        <w:rPr>
          <w:color w:val="000000"/>
          <w:sz w:val="22"/>
          <w:szCs w:val="22"/>
          <w:u w:val="single" w:color="000000"/>
          <w:bdr w:val="nil"/>
          <w:lang w:val="uk-UA" w:eastAsia="ru-RU"/>
        </w:rPr>
      </w:pPr>
      <w:r w:rsidRPr="00404857">
        <w:rPr>
          <w:color w:val="000000"/>
          <w:sz w:val="22"/>
          <w:szCs w:val="22"/>
          <w:u w:val="single" w:color="000000"/>
          <w:bdr w:val="nil"/>
          <w:lang w:val="uk-UA" w:eastAsia="ru-RU"/>
        </w:rPr>
        <w:t xml:space="preserve">Склад витрат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Собівартість реалізованих товарів, робіт, послуг, класифікація адміністративних витрат і витрат на збут здійснюється згідно з МСФЗ. Бухгалтерський облік витрат   ведеться з використанням  рахунків класу 9. Перелік та склад статей калькулювання виробничої та податкової собівартості продукції (робіт, послуг) встановлюється на Товаристві  окремим додатком   до Положення про облікову політику, який складається на початку кожного року та має назву «Розподілення виробничих витрат та розрахунок собівартості послуг».</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Перелік і склад статей калькулювання виробничої собівартості продукції (робіт, послуг) установлюються Товариством.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До складу прямих витрат на оплату праці включаються заробітна плата та інші виплати робітникам, зайнятим у виробництві продукції, виконанні робіт або наданні послуг, які можуть бути безпосередньо віднесені до конкретного об'єкта витрат.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До складу інших прямих витрат включаються всі інші виробничі витрати, які можуть бути безпосередньо віднесені до конкретного об'єкта витрат, зокрема відрахування на соціальні заходи, , амортизація інше.</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До складу загальновиробничих витрат включаються: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Витрати на управління виробництвом (оплата праці апарату управління, відрахування на соціальні заходи й медичне страхування, витрати на оплату службових відряджень персоналу  тощо).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Амортизація основних засобів загальновиробничого  призначення.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Амортизація нематеріальних активів загальновиробничого  призначення.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Витрати на утримання, експлуатацію та ремонт, страхування, операційну оренду основних засобів, інших необоротних активів загальновиробничого призначення.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Витрати на вдосконалення технології й організації виробництва (оплата праці та відрахування на соціальні заходи працівників, зайнятих удосконаленням технології й організації виробництва, поліпшенням якості продукції, робіт, витрати матеріалів, купівельних комплектуючих виробів і напівфабрикатів, оплата послуг сторонніх організацій тощо).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Витрати на опалення, освітлення, водопостачання, водовідведення та інше утримання виробничих приміщень.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lastRenderedPageBreak/>
        <w:t xml:space="preserve">- Витрати на обслуговування виробничого процесу (оплата праці загальновиробничого персоналу; відрахування на соціальні заходи, медичне страхування робітників та апарату управління виробництвом; витрати на здійснення технологічного контролю за виробничими процесами та якістю продукції, робіт, послуг).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Витрати на охорону праці, техніку безпеки і охорону навколишнього природного середовища.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Інші витрати.</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Загальновиробничі витрати поділяються на постійні і змінні.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Перелік і склад змінних і постійних загальновиробничих витрат установлюються Товариством.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Витрати, пов'язані з операційною діяльністю, які не включаються до собівартості реалізованої продукції (товарів, робіт, послуг), поділяються на адміністративні витрати, витрати на збут та інші операційні витрати.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До адміністративних витрат відносяться такі загальногосподарські витрати, спрямовані на обслуговування та управління Товариством.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До інших операційних витрат включаються: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-витрати на дослідження та розробки відповідно до МСФЗ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-собівартість реалізованих виробничих запасів, яка для цілей бухгалтерського обліку складається з їх облікової вартості та витрат, пов'язаних з їх реалізацією;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-сума безнадійної дебіторської заборгованості та відрахування до резерву сумнівних боргів;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-втрати від операційної курсової різниці (тобто від зміни курсу валюти за операціями, активами і зобов'язаннями, що пов'язані з операційною діяльністю Товариства);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-втрати від знецінення запасів;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-нестачі й втрати від псування цінностей;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-визнані штрафи, пеня, неустойка;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-інші витрати операційної діяльності.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Витрати операційної діяльності групуються за такими економічними елементами: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-матеріальні затрати;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-витрати на оплату праці;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-відрахування на соціальні заходи;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-амортизація;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-інші операційні витрати.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До фінансових витрат відносяться витрати на проценти (за користування кредитами отриманими, за облігаціями випущеними, за фінансовою орендою тощо) та інші витрати Товариства, пов'язані із запозиченнями (крім фінансових витрат, які включаються до собівартості кваліфікаційних активів відповідно до МСФЗ.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Втрати від участі в капіталі є збитками від інвестицій в асоційовані, дочірні або спільні підприємства, які обліковуються методом участі в капіталі.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Податки на прибуток визнаються витратами згідно з МСФЗ.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Надзвичайні витрати включаються до фінансової звітності за вирахуванням суми, на яку зменшується податок на прибуток від діяльності Товариства внаслідок збитків від надзвичайних подій. </w:t>
      </w:r>
    </w:p>
    <w:p w:rsidR="00404857" w:rsidRPr="00404857" w:rsidRDefault="00404857" w:rsidP="00404857">
      <w:pPr>
        <w:pBdr>
          <w:top w:val="nil"/>
          <w:left w:val="nil"/>
          <w:bottom w:val="nil"/>
          <w:right w:val="nil"/>
          <w:between w:val="nil"/>
          <w:bar w:val="nil"/>
        </w:pBdr>
        <w:shd w:val="clear" w:color="auto" w:fill="FFFFFF"/>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b/>
          <w:bCs/>
          <w:color w:val="000000"/>
          <w:u w:color="000000"/>
          <w:bdr w:val="nil"/>
          <w:lang w:val="uk-UA" w:eastAsia="ru-RU"/>
        </w:rPr>
      </w:pPr>
      <w:r w:rsidRPr="00404857">
        <w:rPr>
          <w:rFonts w:eastAsia="Arial Unicode MS" w:cs="Arial Unicode MS"/>
          <w:b/>
          <w:bCs/>
          <w:color w:val="000000"/>
          <w:u w:color="000000"/>
          <w:bdr w:val="nil"/>
          <w:lang w:val="uk-UA" w:eastAsia="ru-RU"/>
        </w:rPr>
        <w:t>МСБО 23 «Витрати на позики»</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Товариство для складання фінансової звітності застосовує базовий підхід до обліку по займах, кредитах, позиках  відповідно до МСБО23. Витрати по займах (процентні та інші витрати понесені у зв’язку з залученням займів)  визнаються в якості витрат того періоду, в  якому понесені з відображенням у звіті про фінансові результати або капіталізуються в залежності від цільового призначення.</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u w:color="000000"/>
          <w:bdr w:val="nil"/>
          <w:lang w:val="uk-UA" w:eastAsia="ru-RU"/>
        </w:rPr>
      </w:pP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b/>
          <w:bCs/>
          <w:color w:val="000000"/>
          <w:u w:color="000000"/>
          <w:bdr w:val="nil"/>
          <w:lang w:val="uk-UA" w:eastAsia="ru-RU"/>
        </w:rPr>
      </w:pPr>
      <w:r w:rsidRPr="00404857">
        <w:rPr>
          <w:rFonts w:eastAsia="Arial Unicode MS" w:cs="Arial Unicode MS"/>
          <w:b/>
          <w:bCs/>
          <w:color w:val="000000"/>
          <w:u w:color="000000"/>
          <w:bdr w:val="nil"/>
          <w:lang w:val="uk-UA" w:eastAsia="ru-RU"/>
        </w:rPr>
        <w:t>МСБО 17«Оренда»</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Оренда класифікується як фінансова, якщо за умовами оренди передаються в основному всі вигоди та ризики, пов’язані з експлуатацією активу і оренда відповідає одному з критеріїв визнання відповідно до МСБО 17 «Оренда». Всі інші види оренди класифікуються як операційна оренда. Активи, що утримуються на умовах фінансової оренди, визнаються активами Товариства за найменшою із вартостей або  за справедливою вартістю або дисконтованою вартістю мінімальних орендних платежів на дату отримання. Відповідна заборгованість включається в баланс як зобов’язання по фінансовій оренді з розподіленням на довгострокову та короткострокову заборгованість. </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Витрати за операційною орендою списуються на витрати поточного періоду протягом відповідного терміну оренди.</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b/>
          <w:bCs/>
          <w:color w:val="000000"/>
          <w:u w:color="000000"/>
          <w:bdr w:val="nil"/>
          <w:lang w:val="uk-UA" w:eastAsia="ru-RU"/>
        </w:rPr>
      </w:pPr>
      <w:r w:rsidRPr="00404857">
        <w:rPr>
          <w:rFonts w:eastAsia="Arial Unicode MS" w:cs="Arial Unicode MS"/>
          <w:b/>
          <w:bCs/>
          <w:color w:val="000000"/>
          <w:u w:color="000000"/>
          <w:bdr w:val="nil"/>
          <w:lang w:val="uk-UA" w:eastAsia="ru-RU"/>
        </w:rPr>
        <w:t xml:space="preserve">МСБО 37 «Забезпечення, умовні зобов’язання та умовні активи» </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lastRenderedPageBreak/>
        <w:t>Облік та визнання зобов’язань та резервів Товариства відбувається відповідно до МСБО 37.</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b/>
          <w:bCs/>
          <w:i/>
          <w:iCs/>
          <w:color w:val="000000"/>
          <w:sz w:val="22"/>
          <w:szCs w:val="22"/>
          <w:u w:color="000000"/>
          <w:bdr w:val="nil"/>
          <w:lang w:val="uk-UA" w:eastAsia="ru-RU"/>
        </w:rPr>
        <w:t>Зобов'язання</w:t>
      </w:r>
      <w:r w:rsidRPr="00404857">
        <w:rPr>
          <w:rFonts w:eastAsia="Arial Unicode MS" w:cs="Arial Unicode MS"/>
          <w:color w:val="000000"/>
          <w:sz w:val="22"/>
          <w:szCs w:val="22"/>
          <w:u w:color="000000"/>
          <w:bdr w:val="nil"/>
          <w:lang w:val="uk-UA" w:eastAsia="ru-RU"/>
        </w:rPr>
        <w:t xml:space="preserve"> визнається, якщо його оцінка може бути достовірно визначена та існує ймовірність зменшення економічних вигод у майбутньому внаслідок його погашення. Якщо на дату балансу раніше визнане зобов'язання не підлягає погашенню, то його сума включається до складу доходу звітного періоду.З метою бухгалтерського обліку зобов'язання поділяються на: довгострокові; поточні; забезпечення; непередбачені зобов'язання; доходи майбутніх періодів.</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ascii="Verdana" w:eastAsia="Verdana" w:hAnsi="Verdana" w:cs="Verdana"/>
          <w:color w:val="000000"/>
          <w:sz w:val="22"/>
          <w:szCs w:val="22"/>
          <w:u w:color="000000"/>
          <w:bdr w:val="nil"/>
          <w:lang w:val="uk-UA" w:eastAsia="ru-RU"/>
        </w:rPr>
      </w:pP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Зобов’язання Товариства класифікуються як довгострокові (строк погашення більше 12 місяців) та поточні (строк погашення до 12 місяців).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Довгострокові зобов’язання (крім відстрочених податків на прибуток) відображаються в залежності від виду або по амортизаційній або по дисконтованій вартості. До довгострокових зобов'язань належать: довгострокові кредити банків; інші довгострокові фінансові зобов'язання; відстрочені податкові зобов'язання; інші довгострокові зобов'язання.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Довгострокове зобов'язання за кредитною угодою (якщо угода передбачає погашення зобов'язання на вимогу кредитора (позикодавця) у разі порушення певних умов, пов'язаних з фінансовим станом позичальника), умови якої порушені, вважається довгостроковим, якщо: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позикодавець до затвердження фінансової звітності погодився не вимагати погашення зобов'язання внаслідок порушення;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не очікується виникнення подальших порушень кредитної угоди протягом дванадцяти місяців з дати балансу. </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Поточні зобов’язання – це зобов’язання, які відповідають одній або декільком нижченаведених ознак:</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-Товариство сподівається  погасити зобов’язання, або зобов’язання підлягають погашенню протягом 12 місяців після звітного періоду</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-Товариство не має безумовного права відстрочити погашення зобов’язання протягом 12 місяців після звітного періоду</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Поточна кредиторська заборгованість обліковується та відображається в Балансі за первинною вартістю, яка рівняється справедливій вартості отриманих активів або послуг ( за сумою погашення). </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Товариство проводить переведення частини довгострокової кредиторської заборгованості до складу короткострокової, коли станом на дату Балансу за умовами договору до повернення частини боргу залишається менше ніж 365 днів.</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u w:color="000000"/>
          <w:bdr w:val="nil"/>
          <w:lang w:val="uk-UA" w:eastAsia="ru-RU"/>
        </w:rPr>
      </w:pP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b/>
          <w:bCs/>
          <w:i/>
          <w:iCs/>
          <w:color w:val="000000"/>
          <w:u w:color="000000"/>
          <w:bdr w:val="nil"/>
          <w:lang w:val="uk-UA" w:eastAsia="ru-RU"/>
        </w:rPr>
        <w:t xml:space="preserve">Забезпечення </w:t>
      </w:r>
      <w:r w:rsidRPr="00404857">
        <w:rPr>
          <w:rFonts w:eastAsia="Arial Unicode MS" w:cs="Arial Unicode MS"/>
          <w:color w:val="000000"/>
          <w:sz w:val="22"/>
          <w:szCs w:val="22"/>
          <w:u w:color="000000"/>
          <w:bdr w:val="nil"/>
          <w:lang w:val="uk-UA" w:eastAsia="ru-RU"/>
        </w:rPr>
        <w:t xml:space="preserve">створюється при виникненні внаслідок минулих подій зобов'язання, погашення якого ймовірно призведе до зменшення ресурсів, що втілюють в собі економічні вигоди, та його оцінка може бути розрахунково визначена. Забороняється створювати забезпечення для покриття майбутніх збитків від діяльності Товариства.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Забезпечення створюються для відшкодування наступних (майбутніх) операційних витрат на: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виплату відпусток працівникам;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додаткове пенсійне забезпечення;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виконання гарантійних зобов'язань;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реструктуризацію, виконання зобов'язань при припиненні діяльності;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виконання зобов'язань щодо обтяжливих контрактів тощо.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Суми створених забезпечень визнаються витратами (за винятком суми забезпечення, що включається до первісної вартості основних засобів відповідно МСФЗ.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Забезпечення використовується для відшкодування лише тих витрат, для покриття яких воно було створено.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Залишок забезпечення переглядається на кожну дату балансу та, у разі потреби, коригується (збільшується або зменшується). У разі відсутності ймовірності вибуття активів для погашення майбутніх зобов'язань сума такого забезпечення підлягає сторнуванню.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Непередбачені зобов'язання відображаються на позабалансових рахунках Товариства за обліковою оцінкою. </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Товариство визнає в якості резерву – резерв відпусток, який формується щомісячно виходячи з фонду оплати праці та розрахункового  оціночного коефіцієнта. Коефіцієнт розраховується  виходячи з даних попередніх звітних періодів враховуючи поправки на інформацію звітного періоду. </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Товариство може  формувати  резервний фонд на покриття непередбачених збитків по всіх статтях активів та позабалансових зобов'язань. Розмір відрахувань до резервного фонду має бути не менше 5 відсотків від прибутку Товариства до досягнення ними 25 відсотків розміру регулятивного капіталу Товариства. </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lastRenderedPageBreak/>
        <w:t>Якщо внаслідок діяльності Товариства розмір регулятивного капіталу зменшився до суми, що є меншою, ніж розмір статутного капіталу, то щорічні відрахування до резервного фонду мають становити 10 відсотків чистого прибутку  до досягнення ними розміру 35 відсотків від статутного капіталу Товариства.</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Забезпечення визнаються у фінансовій звітності Товариства коли у нього є поточні юридичні або випливаючи з практики зобов’язання, що виникли в результаті минулих подій, для погашення яких, ймовірне вибуття ресурсів, що втілюють економічні вигоди і сума зобов’язань може бути достовірно оцінена. Забезпечення поділяються на забезпечення виплат працівникам та інші статті.</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u w:color="000000"/>
          <w:bdr w:val="nil"/>
          <w:lang w:val="uk-UA" w:eastAsia="ru-RU"/>
        </w:rPr>
      </w:pPr>
      <w:r w:rsidRPr="00404857">
        <w:rPr>
          <w:rFonts w:eastAsia="Arial Unicode MS" w:cs="Arial Unicode MS"/>
          <w:color w:val="000000"/>
          <w:sz w:val="22"/>
          <w:szCs w:val="22"/>
          <w:u w:color="000000"/>
          <w:bdr w:val="nil"/>
          <w:lang w:val="uk-UA" w:eastAsia="ru-RU"/>
        </w:rPr>
        <w:t>Товариство визнає умовні зобов’язання, виходячи з їх критеріїв визнання, враховуючи оцінку вірогідності їх виникнення та сум погашення, отриманих від експертів</w:t>
      </w:r>
      <w:r w:rsidRPr="00404857">
        <w:rPr>
          <w:rFonts w:eastAsia="Arial Unicode MS" w:cs="Arial Unicode MS"/>
          <w:color w:val="000000"/>
          <w:u w:color="000000"/>
          <w:bdr w:val="nil"/>
          <w:lang w:val="uk-UA" w:eastAsia="ru-RU"/>
        </w:rPr>
        <w:t>.</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u w:color="000000"/>
          <w:bdr w:val="nil"/>
          <w:lang w:val="uk-UA" w:eastAsia="ru-RU"/>
        </w:rPr>
      </w:pPr>
      <w:r w:rsidRPr="00404857">
        <w:rPr>
          <w:rFonts w:eastAsia="Arial Unicode MS" w:cs="Arial Unicode MS"/>
          <w:b/>
          <w:bCs/>
          <w:i/>
          <w:iCs/>
          <w:color w:val="000000"/>
          <w:u w:color="000000"/>
          <w:bdr w:val="nil"/>
          <w:lang w:val="uk-UA" w:eastAsia="ru-RU"/>
        </w:rPr>
        <w:t>Умовні зобов’язання</w:t>
      </w:r>
      <w:r w:rsidRPr="00404857">
        <w:rPr>
          <w:rFonts w:eastAsia="Arial Unicode MS" w:cs="Arial Unicode MS"/>
          <w:color w:val="000000"/>
          <w:u w:color="000000"/>
          <w:bdr w:val="nil"/>
          <w:lang w:val="uk-UA" w:eastAsia="ru-RU"/>
        </w:rPr>
        <w:t xml:space="preserve"> </w:t>
      </w:r>
      <w:r w:rsidRPr="00404857">
        <w:rPr>
          <w:rFonts w:eastAsia="Arial Unicode MS" w:cs="Arial Unicode MS"/>
          <w:color w:val="000000"/>
          <w:sz w:val="22"/>
          <w:szCs w:val="22"/>
          <w:u w:color="000000"/>
          <w:bdr w:val="nil"/>
          <w:lang w:val="uk-UA" w:eastAsia="ru-RU"/>
        </w:rPr>
        <w:t>не визнаються у фінансовій звітності, вони розкриваються у примітках якщо ймовірний відтік ресурсів є суттєвим.</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b/>
          <w:bCs/>
          <w:i/>
          <w:iCs/>
          <w:color w:val="000000"/>
          <w:u w:color="000000"/>
          <w:bdr w:val="nil"/>
          <w:lang w:val="uk-UA" w:eastAsia="ru-RU"/>
        </w:rPr>
        <w:t>Умовні активи</w:t>
      </w:r>
      <w:r w:rsidRPr="00404857">
        <w:rPr>
          <w:rFonts w:eastAsia="Arial Unicode MS" w:cs="Arial Unicode MS"/>
          <w:color w:val="000000"/>
          <w:u w:color="000000"/>
          <w:bdr w:val="nil"/>
          <w:lang w:val="uk-UA" w:eastAsia="ru-RU"/>
        </w:rPr>
        <w:t xml:space="preserve"> </w:t>
      </w:r>
      <w:r w:rsidRPr="00404857">
        <w:rPr>
          <w:rFonts w:eastAsia="Arial Unicode MS" w:cs="Arial Unicode MS"/>
          <w:color w:val="000000"/>
          <w:sz w:val="22"/>
          <w:szCs w:val="22"/>
          <w:u w:color="000000"/>
          <w:bdr w:val="nil"/>
          <w:lang w:val="uk-UA" w:eastAsia="ru-RU"/>
        </w:rPr>
        <w:t>не визнаються у фінансовій звітності, але розкриваються у примітках до фінансової звітності в тій мірі, в якій ймовірно отримання Товариством економічних вигід.</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u w:color="000000"/>
          <w:bdr w:val="nil"/>
          <w:lang w:val="uk-UA" w:eastAsia="ru-RU"/>
        </w:rPr>
      </w:pPr>
    </w:p>
    <w:p w:rsidR="00404857" w:rsidRPr="00404857" w:rsidRDefault="00404857" w:rsidP="00404857">
      <w:pPr>
        <w:pBdr>
          <w:top w:val="nil"/>
          <w:left w:val="nil"/>
          <w:bottom w:val="nil"/>
          <w:right w:val="nil"/>
          <w:between w:val="nil"/>
          <w:bar w:val="nil"/>
        </w:pBdr>
        <w:suppressAutoHyphens w:val="0"/>
        <w:ind w:firstLine="567"/>
        <w:jc w:val="both"/>
        <w:outlineLvl w:val="1"/>
        <w:rPr>
          <w:rFonts w:eastAsia="Arial Unicode MS" w:cs="Arial Unicode MS"/>
          <w:b/>
          <w:bCs/>
          <w:color w:val="000000"/>
          <w:u w:color="000000"/>
          <w:bdr w:val="nil"/>
          <w:lang w:val="uk-UA" w:eastAsia="ru-RU"/>
        </w:rPr>
      </w:pPr>
      <w:r w:rsidRPr="00404857">
        <w:rPr>
          <w:rFonts w:eastAsia="Arial Unicode MS" w:cs="Arial Unicode MS"/>
          <w:b/>
          <w:bCs/>
          <w:color w:val="000000"/>
          <w:u w:color="000000"/>
          <w:bdr w:val="nil"/>
          <w:lang w:val="uk-UA" w:eastAsia="ru-RU"/>
        </w:rPr>
        <w:t>Політика управління ризиками.</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Управління ризиками відіграє важливу роль в операційній діяльності Товариства, яке здійснюється в ході постійного процесу оцінки та визначення рівнів ризику, та засновано на системі внутрішнього контролю. В ході процесу стратегічного планування,  керівництво Товариства також оцінює ризики ведення діяльності, такі як зміна середовища, технології або зміна галузі. Керівництво Товариства розглядає та затверджує принципи управління кожним із зазначених ризиків. </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b/>
          <w:bCs/>
          <w:color w:val="000000"/>
          <w:u w:color="000000"/>
          <w:bdr w:val="nil"/>
          <w:lang w:val="uk-UA" w:eastAsia="ru-RU"/>
        </w:rPr>
        <w:t xml:space="preserve">Управління ризиком капіталу – </w:t>
      </w:r>
      <w:r w:rsidRPr="00404857">
        <w:rPr>
          <w:rFonts w:eastAsia="Arial Unicode MS" w:cs="Arial Unicode MS"/>
          <w:color w:val="000000"/>
          <w:sz w:val="22"/>
          <w:szCs w:val="22"/>
          <w:u w:color="000000"/>
          <w:bdr w:val="nil"/>
          <w:lang w:val="uk-UA" w:eastAsia="ru-RU"/>
        </w:rPr>
        <w:t>Товариство управляє своїм капіталом для того, щоб забезпечити своє функціонування на безперервній основі, розширення бізнесу і, водночас, гарантувати максимальний прибуток учасникам шляхом оптимізації балансу власних та залучених коштів. Керівництво Товариства регулярно переглядає структуру капіталу. На основі результатів таких переглядів Товариство вживає заходів для підтримання балансу загальної структури капіталу за рахунок залучення нового боргу або погашення існуючої заборгованості.</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u w:color="000000"/>
          <w:bdr w:val="nil"/>
          <w:lang w:val="uk-UA" w:eastAsia="ru-RU"/>
        </w:rPr>
      </w:pP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b/>
          <w:bCs/>
          <w:color w:val="000000"/>
          <w:u w:color="000000"/>
          <w:bdr w:val="nil"/>
          <w:lang w:val="uk-UA" w:eastAsia="ru-RU"/>
        </w:rPr>
        <w:t>Основні категорії фінансових інструментів</w:t>
      </w:r>
      <w:r w:rsidRPr="00404857">
        <w:rPr>
          <w:rFonts w:eastAsia="Arial Unicode MS" w:cs="Arial Unicode MS"/>
          <w:color w:val="000000"/>
          <w:u w:color="000000"/>
          <w:bdr w:val="nil"/>
          <w:lang w:val="uk-UA" w:eastAsia="ru-RU"/>
        </w:rPr>
        <w:t xml:space="preserve"> – </w:t>
      </w:r>
      <w:r w:rsidRPr="00404857">
        <w:rPr>
          <w:rFonts w:eastAsia="Arial Unicode MS" w:cs="Arial Unicode MS"/>
          <w:color w:val="000000"/>
          <w:sz w:val="22"/>
          <w:szCs w:val="22"/>
          <w:u w:color="000000"/>
          <w:bdr w:val="nil"/>
          <w:lang w:val="uk-UA" w:eastAsia="ru-RU"/>
        </w:rPr>
        <w:t>основними фінансовими зобов’язаннями Товариства є торгова кредиторська заборгованість, заборгованість по залученим грошовим коштам клієнтів по брокерським договорам, інші довгострокові зобов’язання та поточна заборгованість за довгостроковими зобов’язаннями. Основною метою цих фінансових інструментів є залучення фінансування для операційної діяльності Товариства. Товариство має різні фінансові активи. Такі як грошові кошти та їх еквіваленти, торгову дебіторську заборгованість.</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b/>
          <w:bCs/>
          <w:i/>
          <w:iCs/>
          <w:color w:val="000000"/>
          <w:u w:color="000000"/>
          <w:bdr w:val="nil"/>
          <w:lang w:val="uk-UA" w:eastAsia="ru-RU"/>
        </w:rPr>
      </w:pPr>
      <w:r w:rsidRPr="00404857">
        <w:rPr>
          <w:rFonts w:eastAsia="Arial Unicode MS" w:cs="Arial Unicode MS"/>
          <w:color w:val="000000"/>
          <w:sz w:val="22"/>
          <w:szCs w:val="22"/>
          <w:u w:color="000000"/>
          <w:bdr w:val="nil"/>
          <w:lang w:val="uk-UA" w:eastAsia="ru-RU"/>
        </w:rPr>
        <w:t xml:space="preserve">Основними ризиками, які виникають при використанні фінансових інструментів Товариства є </w:t>
      </w:r>
      <w:r w:rsidRPr="00404857">
        <w:rPr>
          <w:rFonts w:eastAsia="Arial Unicode MS" w:cs="Arial Unicode MS"/>
          <w:b/>
          <w:bCs/>
          <w:i/>
          <w:iCs/>
          <w:color w:val="000000"/>
          <w:u w:color="000000"/>
          <w:bdr w:val="nil"/>
          <w:lang w:val="uk-UA" w:eastAsia="ru-RU"/>
        </w:rPr>
        <w:t>ринковий ризик, кредитний ризик  та ризик ліквідності.</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b/>
          <w:bCs/>
          <w:i/>
          <w:iCs/>
          <w:color w:val="000000"/>
          <w:u w:color="000000"/>
          <w:bdr w:val="nil"/>
          <w:lang w:val="uk-UA" w:eastAsia="ru-RU"/>
        </w:rPr>
      </w:pP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b/>
          <w:bCs/>
          <w:color w:val="000000"/>
          <w:u w:color="000000"/>
          <w:bdr w:val="nil"/>
          <w:lang w:val="uk-UA" w:eastAsia="ru-RU"/>
        </w:rPr>
        <w:t xml:space="preserve">Кредитний ризик </w:t>
      </w:r>
      <w:r w:rsidRPr="00404857">
        <w:rPr>
          <w:rFonts w:eastAsia="Arial Unicode MS" w:cs="Arial Unicode MS"/>
          <w:color w:val="000000"/>
          <w:u w:color="000000"/>
          <w:bdr w:val="nil"/>
          <w:lang w:val="uk-UA" w:eastAsia="ru-RU"/>
        </w:rPr>
        <w:t xml:space="preserve">– </w:t>
      </w:r>
      <w:r w:rsidRPr="00404857">
        <w:rPr>
          <w:rFonts w:eastAsia="Arial Unicode MS" w:cs="Arial Unicode MS"/>
          <w:color w:val="000000"/>
          <w:sz w:val="22"/>
          <w:szCs w:val="22"/>
          <w:u w:color="000000"/>
          <w:bdr w:val="nil"/>
          <w:lang w:val="uk-UA" w:eastAsia="ru-RU"/>
        </w:rPr>
        <w:t>являє собою ризик того, що споживач (клієнт)  може не виконати своїх зобов’язань перед Товариством у строк, що може призвести до фінансових збитків у Товариства.</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Кредитний ризик Товариства головним чином пов'язаний з торговою дебіторською заборгованістю. Суми подаються за  вирахуванням резерву на покриття збитків від сумнівної заборгованості, який розраховується керівництвом Товариства на основі попереднього досвіду та оцінки поточної економічної ситуації.</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b/>
          <w:bCs/>
          <w:color w:val="000000"/>
          <w:u w:color="000000"/>
          <w:bdr w:val="nil"/>
          <w:lang w:val="uk-UA" w:eastAsia="ru-RU"/>
        </w:rPr>
        <w:t xml:space="preserve">Ринковий ризик </w:t>
      </w:r>
      <w:r w:rsidRPr="00404857">
        <w:rPr>
          <w:rFonts w:eastAsia="Arial Unicode MS" w:cs="Arial Unicode MS"/>
          <w:color w:val="000000"/>
          <w:u w:color="000000"/>
          <w:bdr w:val="nil"/>
          <w:lang w:val="uk-UA" w:eastAsia="ru-RU"/>
        </w:rPr>
        <w:t xml:space="preserve">– </w:t>
      </w:r>
      <w:r w:rsidRPr="00404857">
        <w:rPr>
          <w:rFonts w:eastAsia="Arial Unicode MS" w:cs="Arial Unicode MS"/>
          <w:color w:val="000000"/>
          <w:sz w:val="22"/>
          <w:szCs w:val="22"/>
          <w:u w:color="000000"/>
          <w:bdr w:val="nil"/>
          <w:lang w:val="uk-UA" w:eastAsia="ru-RU"/>
        </w:rPr>
        <w:t>це ризик того, що справедлива вартість майбутніх грошових потоків за фінансовими інструментами буде коливатися, внаслідок зміни ринкових цін. Ринкові ціни включають в себе наступні ризики: валютний ризик (виникає внаслідок можливості того, що зміни курсів валют будуть здійснювати негативний вплив на майбутні грошові потоки чи справедливу вартість фінансових інструментів), ризик зміни відсоткової ставки(виникає внаслідок можливості того, що зміни в процентних ставках негативно вплинуть на майбутні грошові потоки або справедливу вартість фінансових інструментів), інший ціновий ризик.</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b/>
          <w:bCs/>
          <w:color w:val="000000"/>
          <w:u w:color="000000"/>
          <w:bdr w:val="nil"/>
          <w:lang w:val="uk-UA" w:eastAsia="ru-RU"/>
        </w:rPr>
        <w:t>Ризик ліквідності</w:t>
      </w:r>
      <w:r w:rsidRPr="00404857">
        <w:rPr>
          <w:rFonts w:eastAsia="Arial Unicode MS" w:cs="Arial Unicode MS"/>
          <w:color w:val="000000"/>
          <w:u w:color="000000"/>
          <w:bdr w:val="nil"/>
          <w:lang w:val="uk-UA" w:eastAsia="ru-RU"/>
        </w:rPr>
        <w:t xml:space="preserve"> – </w:t>
      </w:r>
      <w:r w:rsidRPr="00404857">
        <w:rPr>
          <w:rFonts w:eastAsia="Arial Unicode MS" w:cs="Arial Unicode MS"/>
          <w:color w:val="000000"/>
          <w:sz w:val="22"/>
          <w:szCs w:val="22"/>
          <w:u w:color="000000"/>
          <w:bdr w:val="nil"/>
          <w:lang w:val="uk-UA" w:eastAsia="ru-RU"/>
        </w:rPr>
        <w:t>представляє собою ризик того, що Товариство не зможе погасити свої зобов’язання по мірі настання строків їхнього погашення у звичайних або непередбачених умовах. Позиція ліквідності Товариства контролюється та управляється. Товариство використовує процес детального бюджетування та прогнозування грошових коштів, облік і аналіз вимог і зобов’язань у розрізі контрактних термінів погашення,  для того, щоб гарантувати наявність адекватних ресурсів для виконання своїх платіжних зобов’язань.</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u w:color="000000"/>
          <w:bdr w:val="nil"/>
          <w:lang w:val="uk-UA" w:eastAsia="ru-RU"/>
        </w:rPr>
      </w:pPr>
    </w:p>
    <w:p w:rsidR="00404857" w:rsidRPr="00404857" w:rsidRDefault="00404857" w:rsidP="00404857">
      <w:pPr>
        <w:pBdr>
          <w:top w:val="nil"/>
          <w:left w:val="nil"/>
          <w:bottom w:val="nil"/>
          <w:right w:val="nil"/>
          <w:between w:val="nil"/>
          <w:bar w:val="nil"/>
        </w:pBdr>
        <w:suppressAutoHyphens w:val="0"/>
        <w:ind w:firstLine="567"/>
        <w:jc w:val="both"/>
        <w:outlineLvl w:val="1"/>
        <w:rPr>
          <w:rFonts w:eastAsia="Arial Unicode MS" w:cs="Arial Unicode MS"/>
          <w:b/>
          <w:bCs/>
          <w:color w:val="000000"/>
          <w:u w:color="000000"/>
          <w:bdr w:val="nil"/>
          <w:lang w:val="uk-UA" w:eastAsia="ru-RU"/>
        </w:rPr>
      </w:pPr>
      <w:r w:rsidRPr="00404857">
        <w:rPr>
          <w:rFonts w:eastAsia="Arial Unicode MS" w:cs="Arial Unicode MS"/>
          <w:b/>
          <w:bCs/>
          <w:color w:val="000000"/>
          <w:u w:color="000000"/>
          <w:bdr w:val="nil"/>
          <w:lang w:val="uk-UA" w:eastAsia="ru-RU"/>
        </w:rPr>
        <w:t>МСБО 12 «Податки на прибуток».</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lastRenderedPageBreak/>
        <w:t xml:space="preserve">Товариство є платником податку на прибуток на загальний підставах. Витрати з податку на прибуток визначаються та відображаються у фінансовій звітності Товариства відповідно до МСБО12. Податок на прибуток обчислюється виходячи з бухгалтерського фінансового результату (прибутку чи збитку).  В Податковому обліку податок на прибуток обчислюється враховуючи/ не враховуючи  різниці, передбачені ПКУ в залежності від суми доходу за останній рік за даними бухгалтерського обліку. </w:t>
      </w:r>
    </w:p>
    <w:p w:rsidR="00404857" w:rsidRPr="00404857" w:rsidRDefault="00404857" w:rsidP="00404857">
      <w:pPr>
        <w:pBdr>
          <w:top w:val="nil"/>
          <w:left w:val="nil"/>
          <w:bottom w:val="nil"/>
          <w:right w:val="nil"/>
          <w:between w:val="nil"/>
          <w:bar w:val="nil"/>
        </w:pBdr>
        <w:suppressAutoHyphens w:val="0"/>
        <w:spacing w:line="240" w:lineRule="atLeast"/>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u w:color="000000"/>
          <w:bdr w:val="nil"/>
          <w:lang w:val="uk-UA" w:eastAsia="ru-RU"/>
        </w:rPr>
        <w:t xml:space="preserve">У </w:t>
      </w:r>
      <w:r w:rsidRPr="00404857">
        <w:rPr>
          <w:rFonts w:eastAsia="Arial Unicode MS" w:cs="Arial Unicode MS"/>
          <w:b/>
          <w:bCs/>
          <w:color w:val="000000"/>
          <w:u w:color="000000"/>
          <w:bdr w:val="nil"/>
          <w:lang w:val="uk-UA" w:eastAsia="ru-RU"/>
        </w:rPr>
        <w:t>проміжній</w:t>
      </w:r>
      <w:r w:rsidRPr="00404857">
        <w:rPr>
          <w:rFonts w:eastAsia="Arial Unicode MS" w:cs="Arial Unicode MS"/>
          <w:color w:val="000000"/>
          <w:u w:color="000000"/>
          <w:bdr w:val="nil"/>
          <w:lang w:val="uk-UA" w:eastAsia="ru-RU"/>
        </w:rPr>
        <w:t xml:space="preserve"> </w:t>
      </w:r>
      <w:r w:rsidRPr="00404857">
        <w:rPr>
          <w:rFonts w:eastAsia="Arial Unicode MS" w:cs="Arial Unicode MS"/>
          <w:color w:val="000000"/>
          <w:sz w:val="22"/>
          <w:szCs w:val="22"/>
          <w:u w:color="000000"/>
          <w:bdr w:val="nil"/>
          <w:lang w:val="uk-UA" w:eastAsia="ru-RU"/>
        </w:rPr>
        <w:t xml:space="preserve">фінансовій звітності відстрочені податкові активи та відстрочені податкові зобов'язання наводяться  у балансі в сумі зазначених активів і зобов'язань, що визначені на 31 грудня попереднього року без їх обчислення на дату проміжної фінансової звітності. </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u w:color="000000"/>
          <w:bdr w:val="nil"/>
          <w:lang w:val="uk-UA" w:eastAsia="ru-RU"/>
        </w:rPr>
      </w:pPr>
    </w:p>
    <w:p w:rsidR="00404857" w:rsidRPr="00404857" w:rsidRDefault="00404857" w:rsidP="00404857">
      <w:pPr>
        <w:pBdr>
          <w:top w:val="nil"/>
          <w:left w:val="nil"/>
          <w:bottom w:val="nil"/>
          <w:right w:val="nil"/>
          <w:between w:val="nil"/>
          <w:bar w:val="nil"/>
        </w:pBdr>
        <w:suppressAutoHyphens w:val="0"/>
        <w:ind w:firstLine="567"/>
        <w:jc w:val="both"/>
        <w:outlineLvl w:val="1"/>
        <w:rPr>
          <w:rFonts w:eastAsia="Arial Unicode MS" w:cs="Arial Unicode MS"/>
          <w:b/>
          <w:bCs/>
          <w:color w:val="000000"/>
          <w:u w:color="000000"/>
          <w:bdr w:val="nil"/>
          <w:lang w:val="uk-UA" w:eastAsia="ru-RU"/>
        </w:rPr>
      </w:pPr>
      <w:r w:rsidRPr="00404857">
        <w:rPr>
          <w:rFonts w:eastAsia="Arial Unicode MS" w:cs="Arial Unicode MS"/>
          <w:b/>
          <w:bCs/>
          <w:color w:val="000000"/>
          <w:u w:color="000000"/>
          <w:bdr w:val="nil"/>
          <w:lang w:val="uk-UA" w:eastAsia="ru-RU"/>
        </w:rPr>
        <w:t>МСБО19 «Виплати працівникам»</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Всі винагороди працівникам на Товаристві обліковуються як поточні у відповідності з МСБО19.</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В процесі господарської діяльності Товариство сплачує обов’язкові внески до Пенсійного фонду України  ( у складі єдиного соціального внеску) та інші державні фонди соціального страхування за своїх працівників у розмірі, визначеному  законодавством України. Також колективним договором на Товаристві зокрема  та  законодавством України передбачені виплати при звільнені працівників, короткострокові виплати, винагороди та премії. Виплати, які пов’язані з нарахуванням/використанням резервів є виплати по відпусткам. Інших виплат працівникам на Товаристві не передбачено.</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u w:color="000000"/>
          <w:bdr w:val="nil"/>
          <w:lang w:val="uk-UA" w:eastAsia="ru-RU"/>
        </w:rPr>
      </w:pPr>
    </w:p>
    <w:p w:rsidR="00404857" w:rsidRPr="00404857" w:rsidRDefault="00404857" w:rsidP="00404857">
      <w:pPr>
        <w:pBdr>
          <w:top w:val="nil"/>
          <w:left w:val="nil"/>
          <w:bottom w:val="nil"/>
          <w:right w:val="nil"/>
          <w:between w:val="nil"/>
          <w:bar w:val="nil"/>
        </w:pBdr>
        <w:suppressAutoHyphens w:val="0"/>
        <w:ind w:firstLine="567"/>
        <w:jc w:val="both"/>
        <w:outlineLvl w:val="1"/>
        <w:rPr>
          <w:rFonts w:eastAsia="Arial Unicode MS" w:cs="Arial Unicode MS"/>
          <w:b/>
          <w:bCs/>
          <w:color w:val="000000"/>
          <w:u w:color="000000"/>
          <w:bdr w:val="nil"/>
          <w:lang w:val="uk-UA" w:eastAsia="ru-RU"/>
        </w:rPr>
      </w:pPr>
      <w:r w:rsidRPr="00404857">
        <w:rPr>
          <w:rFonts w:eastAsia="Arial Unicode MS" w:cs="Arial Unicode MS"/>
          <w:b/>
          <w:bCs/>
          <w:color w:val="000000"/>
          <w:u w:color="000000"/>
          <w:bdr w:val="nil"/>
          <w:lang w:val="uk-UA" w:eastAsia="ru-RU"/>
        </w:rPr>
        <w:t xml:space="preserve">МСБО 24 «Розкриття інформації про пов’язані сторони» </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Сторони вважаються пов’язаними якщо перебувають під контролем або суттєвим впливом інших осіб при прийнятті фінансових чи операційних рішень, що визнано МСБО 24 «Розкриття інформації про пов’язані сторони», також пов’язаними сторонами вважаються підприємства і фізичні особи, які прямо або опосередковано здійснюють контроль над підприємством або суттєво впливають на його діяльність, а також близькі члени родини такої фізичної особи. При визначені, чи є компанія пов’язаною стороною основна увага приділяється сутності відносин а не їх юридичній формі.</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Операція з пов’язаною стороною – передача ресурсів, послуг або зобов’язань між суб’єктом господарювання, що звітує та пов’язаною стороною, незалежно від того, чи призначається ціна.</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p>
    <w:p w:rsidR="00404857" w:rsidRPr="00404857" w:rsidRDefault="00404857" w:rsidP="00404857">
      <w:pPr>
        <w:pBdr>
          <w:top w:val="nil"/>
          <w:left w:val="nil"/>
          <w:bottom w:val="nil"/>
          <w:right w:val="nil"/>
          <w:between w:val="nil"/>
          <w:bar w:val="nil"/>
        </w:pBdr>
        <w:suppressAutoHyphens w:val="0"/>
        <w:ind w:firstLine="567"/>
        <w:jc w:val="both"/>
        <w:outlineLvl w:val="1"/>
        <w:rPr>
          <w:rFonts w:eastAsia="Arial Unicode MS" w:cs="Arial Unicode MS"/>
          <w:b/>
          <w:bCs/>
          <w:color w:val="000000"/>
          <w:sz w:val="26"/>
          <w:szCs w:val="26"/>
          <w:u w:color="000000"/>
          <w:bdr w:val="nil"/>
          <w:lang w:val="uk-UA" w:eastAsia="ru-RU"/>
        </w:rPr>
      </w:pPr>
      <w:r w:rsidRPr="00404857">
        <w:rPr>
          <w:rFonts w:eastAsia="Arial Unicode MS" w:cs="Arial Unicode MS"/>
          <w:b/>
          <w:bCs/>
          <w:color w:val="000000"/>
          <w:sz w:val="26"/>
          <w:szCs w:val="26"/>
          <w:u w:color="000000"/>
          <w:bdr w:val="nil"/>
          <w:lang w:val="uk-UA" w:eastAsia="ru-RU"/>
        </w:rPr>
        <w:t xml:space="preserve">МСФЗ 8 «Операційні сегменти»   </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 xml:space="preserve"> Товариство в силу своїх особливостей та складеною практикою організації займається одним видом діяльності. У зв’язку з цим господарчо-галузеві сегменти не виділені. Товариство займається реалізацією товарів та послуг тільки на території України, в зв’язку з цим географічні сегменти не виділяються. У разі розширення масштабів діяльності Товариства та при появі нових видів діяльності Товариство буде представляти фінансову звітність у відповідності з МСБО8.</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i/>
          <w:color w:val="000000"/>
          <w:sz w:val="22"/>
          <w:szCs w:val="22"/>
          <w:u w:color="000000"/>
          <w:bdr w:val="nil"/>
          <w:lang w:val="uk-UA" w:eastAsia="ru-RU"/>
        </w:rPr>
      </w:pPr>
      <w:r w:rsidRPr="00404857">
        <w:rPr>
          <w:rFonts w:eastAsia="Arial Unicode MS" w:cs="Arial Unicode MS"/>
          <w:i/>
          <w:color w:val="000000"/>
          <w:sz w:val="22"/>
          <w:szCs w:val="22"/>
          <w:u w:color="000000"/>
          <w:bdr w:val="nil"/>
          <w:lang w:val="uk-UA" w:eastAsia="ru-RU"/>
        </w:rPr>
        <w:t>Форми фінансової звітності</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Товариство визначає форми представлення   фінансової звітності:</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Баланс (Звіт про фінансовий стан) складається методом поділу активів та зобов’язань на поточні та довгострокові.</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Звіт про фінансові результати (Звіт про сукупний дохід)  складається методом поділу витрат за функціональними ознаками.</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Звіт про зміни у власному капіталі подається в розгорнутому форматі.</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Звіт про рух грошових коштів складається відповідно з МСБО7 прямим методом.</w:t>
      </w:r>
    </w:p>
    <w:p w:rsidR="00404857" w:rsidRPr="00404857" w:rsidRDefault="00404857" w:rsidP="00404857">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404857">
        <w:rPr>
          <w:rFonts w:eastAsia="Arial Unicode MS" w:cs="Arial Unicode MS"/>
          <w:color w:val="000000"/>
          <w:sz w:val="22"/>
          <w:szCs w:val="22"/>
          <w:u w:color="000000"/>
          <w:bdr w:val="nil"/>
          <w:lang w:val="uk-UA" w:eastAsia="ru-RU"/>
        </w:rPr>
        <w:t>Примітки до фінансової звітності складаються відповідно з обов’язковими вимогами до розкриття інформації, викладених у всіх МСБО/МСФЗ. Фінансова звітність Товариства  є фінансовою звітністю загального призначення.</w:t>
      </w:r>
    </w:p>
    <w:p w:rsidR="00404857" w:rsidRDefault="00404857" w:rsidP="004047BD">
      <w:pPr>
        <w:ind w:firstLine="1702"/>
        <w:jc w:val="both"/>
        <w:rPr>
          <w:lang w:val="uk-UA"/>
        </w:rPr>
      </w:pPr>
    </w:p>
    <w:p w:rsidR="00404857" w:rsidRDefault="00404857" w:rsidP="004047BD">
      <w:pPr>
        <w:ind w:firstLine="1702"/>
        <w:jc w:val="both"/>
        <w:rPr>
          <w:lang w:val="uk-UA"/>
        </w:rPr>
      </w:pPr>
    </w:p>
    <w:p w:rsidR="006A3E59" w:rsidRPr="006A3E59" w:rsidRDefault="006A3E59" w:rsidP="006A3E59">
      <w:pPr>
        <w:pBdr>
          <w:top w:val="nil"/>
          <w:left w:val="nil"/>
          <w:bottom w:val="single" w:sz="4" w:space="0" w:color="000000"/>
          <w:right w:val="nil"/>
          <w:between w:val="nil"/>
          <w:bar w:val="nil"/>
        </w:pBdr>
        <w:tabs>
          <w:tab w:val="left" w:pos="993"/>
        </w:tabs>
        <w:suppressAutoHyphens w:val="0"/>
        <w:jc w:val="center"/>
        <w:outlineLvl w:val="0"/>
        <w:rPr>
          <w:b/>
          <w:bCs/>
          <w:color w:val="000000"/>
          <w:sz w:val="22"/>
          <w:szCs w:val="22"/>
          <w:u w:color="000000"/>
          <w:bdr w:val="nil"/>
          <w:lang w:val="uk-UA" w:eastAsia="ru-RU"/>
        </w:rPr>
      </w:pPr>
      <w:r w:rsidRPr="006A3E59">
        <w:rPr>
          <w:b/>
          <w:bCs/>
          <w:color w:val="000000"/>
          <w:sz w:val="22"/>
          <w:szCs w:val="22"/>
          <w:u w:color="000000"/>
          <w:bdr w:val="nil"/>
          <w:lang w:val="uk-UA" w:eastAsia="ru-RU"/>
        </w:rPr>
        <w:t>4.СУТТЄВІ ОБЛІКОВІ СУДЖЕННЯ ТА ОЦІНКИ</w:t>
      </w:r>
    </w:p>
    <w:p w:rsidR="006A3E59" w:rsidRPr="006A3E59" w:rsidRDefault="006A3E59" w:rsidP="006A3E59">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6A3E59">
        <w:rPr>
          <w:rFonts w:eastAsia="Arial Unicode MS" w:cs="Arial Unicode MS"/>
          <w:color w:val="000000"/>
          <w:sz w:val="22"/>
          <w:szCs w:val="22"/>
          <w:u w:color="000000"/>
          <w:bdr w:val="nil"/>
          <w:lang w:val="uk-UA" w:eastAsia="ru-RU"/>
        </w:rPr>
        <w:t>Підготовка фінансової звітності згідно з МСФЗ, МСБО та тлумачень вимагає від керівництва формування суджень, оцінок та припущень, які впливають на застосування облікових політик, а також на елементи фінансової звітності - суми активів, зобов’язань, доходів та витрат, відображених у фінансовій звітності. Оцінки та пов’язані з ними припущення ґрунтуються на історичному ( попередньому ) досвіді та інших факторах, які вважаються обґрунтованими за існуючих  обставин, результати яких формують основу суджень стосовно балансової вартості активів та зобов’язань, яка не є очевидною з інших джерел. Хоча ці оцінки ґрунтуються на найкращому розумінні керівництвом поточних подій та операцій, фактичні результати зрештою  можуть суттєво відрізнятися від цих оцінок та розрахунків.</w:t>
      </w:r>
    </w:p>
    <w:p w:rsidR="006A3E59" w:rsidRPr="006A3E59" w:rsidRDefault="006A3E59" w:rsidP="006A3E59">
      <w:pPr>
        <w:pBdr>
          <w:top w:val="nil"/>
          <w:left w:val="nil"/>
          <w:bottom w:val="nil"/>
          <w:right w:val="nil"/>
          <w:between w:val="nil"/>
          <w:bar w:val="nil"/>
        </w:pBdr>
        <w:suppressAutoHyphens w:val="0"/>
        <w:ind w:firstLine="567"/>
        <w:jc w:val="both"/>
        <w:rPr>
          <w:rFonts w:eastAsia="Arial Unicode MS" w:cs="Arial Unicode MS"/>
          <w:i/>
          <w:iCs/>
          <w:color w:val="000000"/>
          <w:sz w:val="22"/>
          <w:szCs w:val="22"/>
          <w:u w:val="single" w:color="000000"/>
          <w:bdr w:val="nil"/>
          <w:lang w:val="uk-UA" w:eastAsia="ru-RU"/>
        </w:rPr>
      </w:pPr>
      <w:r w:rsidRPr="006A3E59">
        <w:rPr>
          <w:rFonts w:eastAsia="Arial Unicode MS" w:cs="Arial Unicode MS"/>
          <w:i/>
          <w:iCs/>
          <w:color w:val="000000"/>
          <w:sz w:val="22"/>
          <w:szCs w:val="22"/>
          <w:u w:val="single" w:color="000000"/>
          <w:bdr w:val="nil"/>
          <w:lang w:val="uk-UA" w:eastAsia="ru-RU"/>
        </w:rPr>
        <w:t xml:space="preserve">Під час підготовки цієї фінансової звітності керівництвом було зроблено наступні судження, оцінки та припущення в областях, де такі судження є особливо важливими, що характеризуються високим рівнем </w:t>
      </w:r>
      <w:r w:rsidRPr="006A3E59">
        <w:rPr>
          <w:rFonts w:eastAsia="Arial Unicode MS" w:cs="Arial Unicode MS"/>
          <w:i/>
          <w:iCs/>
          <w:color w:val="000000"/>
          <w:sz w:val="22"/>
          <w:szCs w:val="22"/>
          <w:u w:val="single" w:color="000000"/>
          <w:bdr w:val="nil"/>
          <w:lang w:val="uk-UA" w:eastAsia="ru-RU"/>
        </w:rPr>
        <w:lastRenderedPageBreak/>
        <w:t>складності, областях, в яких припущення і розрахунки мають велике значення для підготовки фінансової звітності за МСФЗ:</w:t>
      </w:r>
    </w:p>
    <w:p w:rsidR="006A3E59" w:rsidRPr="006A3E59" w:rsidRDefault="006A3E59" w:rsidP="006A3E59">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6A3E59">
        <w:rPr>
          <w:rFonts w:eastAsia="Arial Unicode MS" w:cs="Arial Unicode MS"/>
          <w:color w:val="000000"/>
          <w:sz w:val="22"/>
          <w:szCs w:val="22"/>
          <w:u w:color="000000"/>
          <w:bdr w:val="nil"/>
          <w:lang w:val="uk-UA" w:eastAsia="ru-RU"/>
        </w:rPr>
        <w:t>1) Товариство продовжуватиме свою діяльність на підставі принципу безперервності.</w:t>
      </w:r>
    </w:p>
    <w:p w:rsidR="006A3E59" w:rsidRPr="006A3E59" w:rsidRDefault="006A3E59" w:rsidP="006A3E59">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6A3E59">
        <w:rPr>
          <w:rFonts w:eastAsia="Arial Unicode MS" w:cs="Arial Unicode MS"/>
          <w:color w:val="000000"/>
          <w:sz w:val="22"/>
          <w:szCs w:val="22"/>
          <w:u w:color="000000"/>
          <w:bdr w:val="nil"/>
          <w:lang w:val="uk-UA" w:eastAsia="ru-RU"/>
        </w:rPr>
        <w:t>2) Жодний компонент бізнесу та/або група активів чи окремі активи не передбачені на продаж та не класифіковані як групи вибуття. Вся діяльність розглядається як діяльність, що продовжується, інформація з припиненої діяльності не наводиться.</w:t>
      </w:r>
    </w:p>
    <w:p w:rsidR="006A3E59" w:rsidRPr="006A3E59" w:rsidRDefault="006A3E59" w:rsidP="006A3E59">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6A3E59">
        <w:rPr>
          <w:rFonts w:eastAsia="Arial Unicode MS" w:cs="Arial Unicode MS"/>
          <w:color w:val="000000"/>
          <w:sz w:val="22"/>
          <w:szCs w:val="22"/>
          <w:u w:color="000000"/>
          <w:bdr w:val="nil"/>
          <w:lang w:val="uk-UA" w:eastAsia="ru-RU"/>
        </w:rPr>
        <w:t>3) Строки корисного використання довгострокових нефінансових активів є предметом судження, що ґрунтується на досвіді використання подібних активів; цілком зношені активи продовжують використовуватися та не можуть бути списаними з балансу, так як Товариство їх фактично використовує, підтримує робочий стан.</w:t>
      </w:r>
    </w:p>
    <w:p w:rsidR="006A3E59" w:rsidRPr="006A3E59" w:rsidRDefault="006A3E59" w:rsidP="006A3E59">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6A3E59">
        <w:rPr>
          <w:rFonts w:eastAsia="Arial Unicode MS" w:cs="Arial Unicode MS"/>
          <w:color w:val="000000"/>
          <w:sz w:val="22"/>
          <w:szCs w:val="22"/>
          <w:u w:color="000000"/>
          <w:bdr w:val="nil"/>
          <w:lang w:val="uk-UA" w:eastAsia="ru-RU"/>
        </w:rPr>
        <w:t>4) Резерви щорічних відпусток містять оціночні значення відповідно до методології, визначеної обліковою політикою.</w:t>
      </w:r>
    </w:p>
    <w:p w:rsidR="006A3E59" w:rsidRPr="006A3E59" w:rsidRDefault="006A3E59" w:rsidP="006A3E59">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6A3E59">
        <w:rPr>
          <w:rFonts w:eastAsia="Arial Unicode MS" w:cs="Arial Unicode MS"/>
          <w:color w:val="000000"/>
          <w:sz w:val="22"/>
          <w:szCs w:val="22"/>
          <w:u w:color="000000"/>
          <w:bdr w:val="nil"/>
          <w:lang w:val="uk-UA" w:eastAsia="ru-RU"/>
        </w:rPr>
        <w:t>5) Керівництво вважає, що застосування і розкриття щодо застосування справедливої вартості є достатнім і не вважає, що за межами фінансової звітності залишилася будь-яка суттєва інформація щодо застосування справедливої вартості, яка може бути корисною для користувачів фінансової звітності.</w:t>
      </w:r>
    </w:p>
    <w:p w:rsidR="006A3E59" w:rsidRPr="006A3E59" w:rsidRDefault="006A3E59" w:rsidP="006A3E59">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6A3E59">
        <w:rPr>
          <w:rFonts w:eastAsia="Arial Unicode MS" w:cs="Arial Unicode MS"/>
          <w:color w:val="000000"/>
          <w:sz w:val="22"/>
          <w:szCs w:val="22"/>
          <w:u w:color="000000"/>
          <w:bdr w:val="nil"/>
          <w:lang w:val="uk-UA" w:eastAsia="ru-RU"/>
        </w:rPr>
        <w:t>6) Оцінка приблизної справедливої вартості по фінансових активах та зобов’язаннях, що обліковуються не за справедливою вартістю, але розкриття справедливої вартості яких вимагається, містить припущення щодо їхньої справедливої вартості (передбачуваних майбутніх грошових потоків, існуючої економічної ситуації, ризиків, властивих різним фінансовим інструментам та інш.)</w:t>
      </w:r>
    </w:p>
    <w:p w:rsidR="006A3E59" w:rsidRPr="006A3E59" w:rsidRDefault="006A3E59" w:rsidP="006A3E59">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6A3E59">
        <w:rPr>
          <w:rFonts w:eastAsia="Arial Unicode MS" w:cs="Arial Unicode MS"/>
          <w:color w:val="000000"/>
          <w:sz w:val="22"/>
          <w:szCs w:val="22"/>
          <w:u w:color="000000"/>
          <w:bdr w:val="nil"/>
          <w:lang w:val="uk-UA" w:eastAsia="ru-RU"/>
        </w:rPr>
        <w:t>7) Облік фінансових активів в частині зменшення корисності містить ряд припущень та оцінок (наявність чи відсутність ознак знецінення, майбутні грошові потоки тощо).</w:t>
      </w:r>
    </w:p>
    <w:p w:rsidR="006A3E59" w:rsidRPr="006A3E59" w:rsidRDefault="006A3E59" w:rsidP="006A3E59">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6A3E59">
        <w:rPr>
          <w:rFonts w:eastAsia="Arial Unicode MS" w:cs="Arial Unicode MS"/>
          <w:color w:val="000000"/>
          <w:sz w:val="22"/>
          <w:szCs w:val="22"/>
          <w:u w:color="000000"/>
          <w:bdr w:val="nil"/>
          <w:lang w:val="uk-UA" w:eastAsia="ru-RU"/>
        </w:rPr>
        <w:t>8) Відстрочений податковий актив визнається в тій мірі, в якій існує ймовірність наявності оподатковуваного прибутку, проти якого можуть бути використані тимчасові різниці і податкові збитки. Час утилізації/погашення відстрочених податкових активів та зобов’язань теж є припущенням, на підставі якого застосовуються відповідні майбутні ставки податку.</w:t>
      </w:r>
    </w:p>
    <w:p w:rsidR="006A3E59" w:rsidRPr="006A3E59" w:rsidRDefault="006A3E59" w:rsidP="006A3E59">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6A3E59">
        <w:rPr>
          <w:rFonts w:eastAsia="Arial Unicode MS" w:cs="Arial Unicode MS"/>
          <w:color w:val="000000"/>
          <w:sz w:val="22"/>
          <w:szCs w:val="22"/>
          <w:u w:color="000000"/>
          <w:bdr w:val="nil"/>
          <w:lang w:val="uk-UA" w:eastAsia="ru-RU"/>
        </w:rPr>
        <w:t>9) Товариством оцінено, що для тих активів/зобов’язань, що відображені в балансі як довгострокові (крім відстрочених податків), на відміну від поточних, відшкодування/погашення відбудеться більш ніж через дванадцять місяців (або операційного циклу) з дати балансу.</w:t>
      </w:r>
    </w:p>
    <w:p w:rsidR="006A3E59" w:rsidRPr="006A3E59" w:rsidRDefault="006A3E59" w:rsidP="006A3E59">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6A3E59">
        <w:rPr>
          <w:rFonts w:eastAsia="Arial Unicode MS" w:cs="Arial Unicode MS"/>
          <w:color w:val="000000"/>
          <w:sz w:val="22"/>
          <w:szCs w:val="22"/>
          <w:u w:color="000000"/>
          <w:bdr w:val="nil"/>
          <w:lang w:val="uk-UA" w:eastAsia="ru-RU"/>
        </w:rPr>
        <w:t>10) Товариством оцінено, що всі договори оренди, по яких воно виступає стороною, не містять ознак фінансової оренди та повинні класифікуватися як операційна оренда.</w:t>
      </w:r>
    </w:p>
    <w:p w:rsidR="006A3E59" w:rsidRPr="006A3E59" w:rsidRDefault="006A3E59" w:rsidP="006A3E59">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6A3E59">
        <w:rPr>
          <w:rFonts w:eastAsia="Arial Unicode MS" w:cs="Arial Unicode MS"/>
          <w:color w:val="000000"/>
          <w:sz w:val="22"/>
          <w:szCs w:val="22"/>
          <w:u w:color="000000"/>
          <w:bdr w:val="nil"/>
          <w:lang w:val="uk-UA" w:eastAsia="ru-RU"/>
        </w:rPr>
        <w:t>11) Аналіз чутливості та інші аналізи щодо управління ризиками містять припущення стосовно варіювання чинників та їхнього впливу на активи, зобов’язання, сукупних дохід та капітал.</w:t>
      </w:r>
    </w:p>
    <w:p w:rsidR="006A3E59" w:rsidRPr="006A3E59" w:rsidRDefault="006A3E59" w:rsidP="006A3E59">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6A3E59">
        <w:rPr>
          <w:rFonts w:eastAsia="Arial Unicode MS" w:cs="Arial Unicode MS"/>
          <w:color w:val="000000"/>
          <w:sz w:val="22"/>
          <w:szCs w:val="22"/>
          <w:u w:color="000000"/>
          <w:bdr w:val="nil"/>
          <w:lang w:val="uk-UA" w:eastAsia="ru-RU"/>
        </w:rPr>
        <w:t>12) Знецінення основних засобів відповідно до МСФЗ 36 «Знецінення активів» - Товариство переглянуло балансову вартість необоротних матеріальних активів ( в основному основних засобів) для визначення ознак знецінення</w:t>
      </w:r>
    </w:p>
    <w:p w:rsidR="006A3E59" w:rsidRPr="006A3E59" w:rsidRDefault="006A3E59" w:rsidP="006A3E59">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6A3E59">
        <w:rPr>
          <w:rFonts w:eastAsia="Arial Unicode MS" w:cs="Arial Unicode MS"/>
          <w:color w:val="000000"/>
          <w:sz w:val="22"/>
          <w:szCs w:val="22"/>
          <w:u w:color="000000"/>
          <w:bdr w:val="nil"/>
          <w:lang w:val="uk-UA" w:eastAsia="ru-RU"/>
        </w:rPr>
        <w:t>13) Термін корисного використання основних засобів – Товариство переглянуло  строки корисного використання  на кінець фінансового року та  не  очікує відхилення від попередніх оцінок, зміни , що враховуються як зміни в облікових оцінках згідно з МСБО 8 «Облікові політики, зміни в облікових оцінках та помилки» не було</w:t>
      </w:r>
    </w:p>
    <w:p w:rsidR="006A3E59" w:rsidRPr="006A3E59" w:rsidRDefault="006A3E59" w:rsidP="006A3E59">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6A3E59">
        <w:rPr>
          <w:rFonts w:eastAsia="Arial Unicode MS" w:cs="Arial Unicode MS"/>
          <w:color w:val="000000"/>
          <w:sz w:val="22"/>
          <w:szCs w:val="22"/>
          <w:u w:color="000000"/>
          <w:bdr w:val="nil"/>
          <w:lang w:val="uk-UA" w:eastAsia="ru-RU"/>
        </w:rPr>
        <w:t>14) Резерв під сумнівну заборгованість – Товариство  визначило  створює чи не створює резерв під сумнівні борги для покриття можливих збитків та розрахувало відповідні суми</w:t>
      </w:r>
    </w:p>
    <w:p w:rsidR="006A3E59" w:rsidRPr="006A3E59" w:rsidRDefault="006A3E59" w:rsidP="006A3E59">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6A3E59">
        <w:rPr>
          <w:rFonts w:eastAsia="Arial Unicode MS" w:cs="Arial Unicode MS"/>
          <w:color w:val="000000"/>
          <w:sz w:val="22"/>
          <w:szCs w:val="22"/>
          <w:u w:color="000000"/>
          <w:bdr w:val="nil"/>
          <w:lang w:val="uk-UA" w:eastAsia="ru-RU"/>
        </w:rPr>
        <w:t>14) Товариством зроблено припущення про те, що судові справи, по яких воно виступає відповідачем, будуть виграні у судах усіх інстанцій.</w:t>
      </w:r>
    </w:p>
    <w:p w:rsidR="006A3E59" w:rsidRPr="006A3E59" w:rsidRDefault="006A3E59" w:rsidP="006A3E59">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6A3E59">
        <w:rPr>
          <w:rFonts w:eastAsia="Arial Unicode MS" w:cs="Arial Unicode MS"/>
          <w:color w:val="000000"/>
          <w:sz w:val="22"/>
          <w:szCs w:val="22"/>
          <w:u w:color="000000"/>
          <w:bdr w:val="nil"/>
          <w:lang w:val="uk-UA" w:eastAsia="ru-RU"/>
        </w:rPr>
        <w:t>15) Суттєвими елементами фінансової звітності є статті, що складають більше 10% валюти балансу.</w:t>
      </w:r>
    </w:p>
    <w:p w:rsidR="00357A2C" w:rsidRDefault="006A3E59" w:rsidP="00357A2C">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sidRPr="006A3E59">
        <w:rPr>
          <w:rFonts w:eastAsia="Arial Unicode MS" w:cs="Arial Unicode MS"/>
          <w:color w:val="000000"/>
          <w:sz w:val="22"/>
          <w:szCs w:val="22"/>
          <w:u w:color="000000"/>
          <w:bdr w:val="nil"/>
          <w:lang w:val="uk-UA" w:eastAsia="ru-RU"/>
        </w:rPr>
        <w:t>16) Операцій, подій та умов  до яких відсутні  конкретні  МСФЗ не було. У разі, якщо немає МСФЗ, який конкретно застосовується до операції, іншої події або умови, керівництво застосовує судження під час розроблення та застосування облікової політики, щоб інформація була доречною для потреб користувачів для прийняття еко</w:t>
      </w:r>
      <w:r w:rsidR="00357A2C">
        <w:rPr>
          <w:rFonts w:eastAsia="Arial Unicode MS" w:cs="Arial Unicode MS"/>
          <w:color w:val="000000"/>
          <w:sz w:val="22"/>
          <w:szCs w:val="22"/>
          <w:u w:color="000000"/>
          <w:bdr w:val="nil"/>
          <w:lang w:val="uk-UA" w:eastAsia="ru-RU"/>
        </w:rPr>
        <w:t>номічних рішень та достовірною.</w:t>
      </w:r>
    </w:p>
    <w:p w:rsidR="00C50B25" w:rsidRPr="00357A2C" w:rsidRDefault="00357A2C" w:rsidP="00357A2C">
      <w:pPr>
        <w:pBdr>
          <w:top w:val="nil"/>
          <w:left w:val="nil"/>
          <w:bottom w:val="nil"/>
          <w:right w:val="nil"/>
          <w:between w:val="nil"/>
          <w:bar w:val="nil"/>
        </w:pBdr>
        <w:suppressAutoHyphens w:val="0"/>
        <w:ind w:firstLine="567"/>
        <w:jc w:val="both"/>
        <w:rPr>
          <w:rFonts w:eastAsia="Arial Unicode MS" w:cs="Arial Unicode MS"/>
          <w:color w:val="000000"/>
          <w:sz w:val="22"/>
          <w:szCs w:val="22"/>
          <w:u w:color="000000"/>
          <w:bdr w:val="nil"/>
          <w:lang w:val="uk-UA" w:eastAsia="ru-RU"/>
        </w:rPr>
      </w:pPr>
      <w:r>
        <w:rPr>
          <w:b/>
          <w:bCs/>
          <w:sz w:val="28"/>
          <w:szCs w:val="28"/>
        </w:rPr>
        <w:t>5</w:t>
      </w:r>
      <w:r w:rsidR="00F71119">
        <w:rPr>
          <w:b/>
          <w:bCs/>
          <w:sz w:val="28"/>
          <w:szCs w:val="28"/>
        </w:rPr>
        <w:t>.</w:t>
      </w:r>
      <w:r w:rsidR="00F71119" w:rsidRPr="00A16E31">
        <w:rPr>
          <w:b/>
          <w:bCs/>
          <w:sz w:val="28"/>
          <w:szCs w:val="28"/>
        </w:rPr>
        <w:t>Розкриття інформації по даним балансу станом на 31.12.1</w:t>
      </w:r>
      <w:r w:rsidR="00882374">
        <w:rPr>
          <w:b/>
          <w:bCs/>
          <w:sz w:val="28"/>
          <w:szCs w:val="28"/>
        </w:rPr>
        <w:t>7</w:t>
      </w:r>
      <w:r w:rsidR="00F71119" w:rsidRPr="00A16E31">
        <w:rPr>
          <w:b/>
          <w:bCs/>
          <w:sz w:val="28"/>
          <w:szCs w:val="28"/>
        </w:rPr>
        <w:t>р.</w:t>
      </w:r>
    </w:p>
    <w:p w:rsidR="003717AB" w:rsidRPr="00C50B25" w:rsidRDefault="00357A2C" w:rsidP="004047BD">
      <w:pPr>
        <w:tabs>
          <w:tab w:val="left" w:pos="284"/>
        </w:tabs>
        <w:suppressAutoHyphens w:val="0"/>
        <w:autoSpaceDE w:val="0"/>
        <w:autoSpaceDN w:val="0"/>
        <w:adjustRightInd w:val="0"/>
        <w:spacing w:before="240" w:after="240"/>
        <w:contextualSpacing/>
        <w:jc w:val="both"/>
        <w:rPr>
          <w:rFonts w:eastAsia="Calibri"/>
          <w:b/>
          <w:lang w:val="uk-UA" w:eastAsia="en-US"/>
        </w:rPr>
      </w:pPr>
      <w:r>
        <w:rPr>
          <w:rFonts w:eastAsia="Calibri"/>
          <w:b/>
          <w:lang w:val="uk-UA" w:eastAsia="en-US"/>
        </w:rPr>
        <w:t>5</w:t>
      </w:r>
      <w:r w:rsidR="00F71119">
        <w:rPr>
          <w:rFonts w:eastAsia="Calibri"/>
          <w:b/>
          <w:lang w:val="uk-UA" w:eastAsia="en-US"/>
        </w:rPr>
        <w:t>.</w:t>
      </w:r>
      <w:r w:rsidR="003717AB" w:rsidRPr="00C50B25">
        <w:rPr>
          <w:rFonts w:eastAsia="Calibri"/>
          <w:b/>
          <w:lang w:val="uk-UA" w:eastAsia="en-US"/>
        </w:rPr>
        <w:t>1.ОСНОВНІ ЗАСОБИ</w:t>
      </w:r>
    </w:p>
    <w:p w:rsidR="00590228" w:rsidRDefault="00590228" w:rsidP="004047BD">
      <w:pPr>
        <w:widowControl w:val="0"/>
        <w:overflowPunct w:val="0"/>
        <w:autoSpaceDE w:val="0"/>
        <w:spacing w:line="218" w:lineRule="auto"/>
        <w:ind w:right="20" w:firstLine="1702"/>
        <w:jc w:val="both"/>
        <w:rPr>
          <w:b/>
          <w:lang w:val="uk-UA"/>
        </w:rPr>
      </w:pPr>
      <w:r>
        <w:rPr>
          <w:b/>
          <w:lang w:val="uk-UA"/>
        </w:rPr>
        <w:t>Основні засоби.</w:t>
      </w:r>
    </w:p>
    <w:p w:rsidR="00590228" w:rsidRDefault="008B36FD" w:rsidP="004047BD">
      <w:pPr>
        <w:widowControl w:val="0"/>
        <w:overflowPunct w:val="0"/>
        <w:autoSpaceDE w:val="0"/>
        <w:spacing w:line="218" w:lineRule="auto"/>
        <w:ind w:right="20" w:firstLine="1702"/>
        <w:jc w:val="both"/>
        <w:rPr>
          <w:lang w:val="uk-UA"/>
        </w:rPr>
      </w:pPr>
      <w:r>
        <w:rPr>
          <w:lang w:val="uk-UA"/>
        </w:rPr>
        <w:t xml:space="preserve"> Станом на 31.12.2017</w:t>
      </w:r>
      <w:r w:rsidR="00590228">
        <w:rPr>
          <w:lang w:val="uk-UA"/>
        </w:rPr>
        <w:t>р. та на звітну дату  основні засоби відсутні.</w:t>
      </w:r>
    </w:p>
    <w:p w:rsidR="00D8521F" w:rsidRPr="008B3BD8" w:rsidRDefault="008B3BD8" w:rsidP="004047BD">
      <w:pPr>
        <w:widowControl w:val="0"/>
        <w:overflowPunct w:val="0"/>
        <w:autoSpaceDE w:val="0"/>
        <w:spacing w:line="218" w:lineRule="auto"/>
        <w:ind w:right="20" w:firstLine="1702"/>
        <w:jc w:val="both"/>
        <w:rPr>
          <w:rFonts w:eastAsia="Calibri"/>
          <w:b/>
          <w:lang w:val="uk-UA" w:eastAsia="en-US"/>
        </w:rPr>
      </w:pPr>
      <w:r>
        <w:rPr>
          <w:rFonts w:eastAsia="Calibri"/>
          <w:b/>
          <w:lang w:val="uk-UA" w:eastAsia="en-US"/>
        </w:rPr>
        <w:t xml:space="preserve">2. </w:t>
      </w:r>
      <w:r w:rsidR="00D8521F" w:rsidRPr="003717AB">
        <w:rPr>
          <w:rFonts w:eastAsia="Calibri"/>
          <w:b/>
          <w:lang w:val="uk-UA" w:eastAsia="en-US"/>
        </w:rPr>
        <w:t>Інвестиційна нерухомість</w:t>
      </w:r>
      <w:r w:rsidR="00D8521F" w:rsidRPr="00D8521F">
        <w:rPr>
          <w:lang w:val="uk-UA"/>
        </w:rPr>
        <w:t xml:space="preserve"> </w:t>
      </w:r>
      <w:r w:rsidR="00D8521F">
        <w:rPr>
          <w:lang w:val="uk-UA"/>
        </w:rPr>
        <w:t>відсутня.</w:t>
      </w:r>
    </w:p>
    <w:p w:rsidR="00590228" w:rsidRDefault="008B3BD8" w:rsidP="004047BD">
      <w:pPr>
        <w:widowControl w:val="0"/>
        <w:overflowPunct w:val="0"/>
        <w:autoSpaceDE w:val="0"/>
        <w:spacing w:line="216" w:lineRule="auto"/>
        <w:ind w:right="20"/>
        <w:jc w:val="both"/>
        <w:rPr>
          <w:b/>
          <w:lang w:val="uk-UA"/>
        </w:rPr>
      </w:pPr>
      <w:r>
        <w:rPr>
          <w:b/>
          <w:lang w:val="uk-UA"/>
        </w:rPr>
        <w:t xml:space="preserve">                                                                    3.</w:t>
      </w:r>
      <w:r w:rsidR="00590228">
        <w:rPr>
          <w:b/>
          <w:lang w:val="uk-UA"/>
        </w:rPr>
        <w:t>Нематеріальні активи.</w:t>
      </w:r>
    </w:p>
    <w:p w:rsidR="00590228" w:rsidRDefault="00590228" w:rsidP="004047BD">
      <w:pPr>
        <w:widowControl w:val="0"/>
        <w:overflowPunct w:val="0"/>
        <w:autoSpaceDE w:val="0"/>
        <w:spacing w:line="218" w:lineRule="auto"/>
        <w:ind w:right="20" w:firstLine="1702"/>
        <w:jc w:val="both"/>
        <w:rPr>
          <w:lang w:val="uk-UA" w:eastAsia="ar-SA"/>
        </w:rPr>
      </w:pPr>
      <w:r>
        <w:rPr>
          <w:lang w:val="uk-UA"/>
        </w:rPr>
        <w:t xml:space="preserve">Станом на </w:t>
      </w:r>
      <w:r w:rsidR="008B36FD">
        <w:rPr>
          <w:lang w:val="uk-UA"/>
        </w:rPr>
        <w:t>31.12.2017</w:t>
      </w:r>
      <w:r>
        <w:rPr>
          <w:lang w:val="uk-UA"/>
        </w:rPr>
        <w:t>р. та на звітну дату  нематеріальні активи відсутні.</w:t>
      </w:r>
    </w:p>
    <w:p w:rsidR="00590228" w:rsidRDefault="008B3BD8" w:rsidP="004047BD">
      <w:pPr>
        <w:widowControl w:val="0"/>
        <w:overflowPunct w:val="0"/>
        <w:autoSpaceDE w:val="0"/>
        <w:spacing w:line="218" w:lineRule="auto"/>
        <w:ind w:right="20"/>
        <w:jc w:val="both"/>
        <w:rPr>
          <w:b/>
          <w:lang w:val="uk-UA"/>
        </w:rPr>
      </w:pPr>
      <w:r>
        <w:rPr>
          <w:lang w:val="uk-UA"/>
        </w:rPr>
        <w:t xml:space="preserve">                                                                    </w:t>
      </w:r>
      <w:r>
        <w:rPr>
          <w:b/>
          <w:lang w:val="uk-UA"/>
        </w:rPr>
        <w:t>4.</w:t>
      </w:r>
      <w:r w:rsidR="00590228">
        <w:rPr>
          <w:b/>
          <w:lang w:val="uk-UA"/>
        </w:rPr>
        <w:t>Запаси.</w:t>
      </w:r>
    </w:p>
    <w:p w:rsidR="00590228" w:rsidRDefault="008B36FD" w:rsidP="004047BD">
      <w:pPr>
        <w:widowControl w:val="0"/>
        <w:overflowPunct w:val="0"/>
        <w:autoSpaceDE w:val="0"/>
        <w:spacing w:line="218" w:lineRule="auto"/>
        <w:ind w:right="20" w:firstLine="1702"/>
        <w:jc w:val="both"/>
        <w:rPr>
          <w:lang w:val="uk-UA" w:eastAsia="ar-SA"/>
        </w:rPr>
      </w:pPr>
      <w:r>
        <w:rPr>
          <w:lang w:val="uk-UA"/>
        </w:rPr>
        <w:t>Станом на 31.12.2017</w:t>
      </w:r>
      <w:r w:rsidR="00590228">
        <w:rPr>
          <w:lang w:val="uk-UA"/>
        </w:rPr>
        <w:t>р. та на звітну дату  запаси відсутні</w:t>
      </w:r>
    </w:p>
    <w:p w:rsidR="00590228" w:rsidRDefault="00590228" w:rsidP="004047BD">
      <w:pPr>
        <w:widowControl w:val="0"/>
        <w:overflowPunct w:val="0"/>
        <w:autoSpaceDE w:val="0"/>
        <w:spacing w:line="218" w:lineRule="auto"/>
        <w:ind w:right="20" w:firstLine="1702"/>
        <w:jc w:val="both"/>
        <w:rPr>
          <w:lang w:val="uk-UA" w:eastAsia="ar-SA"/>
        </w:rPr>
      </w:pPr>
    </w:p>
    <w:tbl>
      <w:tblPr>
        <w:tblpPr w:leftFromText="180" w:rightFromText="180" w:vertAnchor="text" w:horzAnchor="margin" w:tblpXSpec="center" w:tblpY="80"/>
        <w:tblW w:w="9245" w:type="dxa"/>
        <w:tblLayout w:type="fixed"/>
        <w:tblCellMar>
          <w:left w:w="30" w:type="dxa"/>
          <w:right w:w="30" w:type="dxa"/>
        </w:tblCellMar>
        <w:tblLook w:val="0000" w:firstRow="0" w:lastRow="0" w:firstColumn="0" w:lastColumn="0" w:noHBand="0" w:noVBand="0"/>
      </w:tblPr>
      <w:tblGrid>
        <w:gridCol w:w="5011"/>
        <w:gridCol w:w="2107"/>
        <w:gridCol w:w="2127"/>
      </w:tblGrid>
      <w:tr w:rsidR="00590228" w:rsidRPr="00C834BE" w:rsidTr="00423390">
        <w:trPr>
          <w:trHeight w:val="619"/>
        </w:trPr>
        <w:tc>
          <w:tcPr>
            <w:tcW w:w="9245" w:type="dxa"/>
            <w:gridSpan w:val="3"/>
            <w:tcBorders>
              <w:top w:val="single" w:sz="2" w:space="0" w:color="000000"/>
              <w:left w:val="single" w:sz="2" w:space="0" w:color="000000"/>
              <w:bottom w:val="single" w:sz="2" w:space="0" w:color="000000"/>
              <w:right w:val="single" w:sz="2" w:space="0" w:color="000000"/>
            </w:tcBorders>
          </w:tcPr>
          <w:p w:rsidR="00590228" w:rsidRPr="00C834BE" w:rsidRDefault="00590228" w:rsidP="004047BD">
            <w:pPr>
              <w:suppressAutoHyphens w:val="0"/>
              <w:autoSpaceDE w:val="0"/>
              <w:autoSpaceDN w:val="0"/>
              <w:adjustRightInd w:val="0"/>
              <w:ind w:right="-719" w:firstLine="1702"/>
              <w:jc w:val="both"/>
              <w:rPr>
                <w:rFonts w:ascii="Garamond" w:eastAsiaTheme="minorHAnsi" w:hAnsi="Garamond" w:cs="Garamond"/>
                <w:b/>
                <w:bCs/>
                <w:color w:val="000000"/>
                <w:lang w:eastAsia="en-US"/>
              </w:rPr>
            </w:pPr>
            <w:r w:rsidRPr="00C834BE">
              <w:rPr>
                <w:rFonts w:ascii="Garamond" w:eastAsiaTheme="minorHAnsi" w:hAnsi="Garamond" w:cs="Garamond"/>
                <w:b/>
                <w:bCs/>
                <w:color w:val="000000"/>
                <w:sz w:val="22"/>
                <w:szCs w:val="22"/>
                <w:lang w:eastAsia="en-US"/>
              </w:rPr>
              <w:lastRenderedPageBreak/>
              <w:t>Звіт про фінансовий стан</w:t>
            </w:r>
          </w:p>
          <w:p w:rsidR="00590228" w:rsidRPr="00C834BE" w:rsidRDefault="00590228" w:rsidP="004047BD">
            <w:pPr>
              <w:suppressAutoHyphens w:val="0"/>
              <w:autoSpaceDE w:val="0"/>
              <w:autoSpaceDN w:val="0"/>
              <w:adjustRightInd w:val="0"/>
              <w:ind w:firstLine="1702"/>
              <w:jc w:val="both"/>
              <w:rPr>
                <w:rFonts w:ascii="Garamond" w:eastAsiaTheme="minorHAnsi" w:hAnsi="Garamond" w:cs="Garamond"/>
                <w:b/>
                <w:bCs/>
                <w:color w:val="000000"/>
                <w:lang w:eastAsia="en-US"/>
              </w:rPr>
            </w:pPr>
            <w:r>
              <w:rPr>
                <w:rFonts w:ascii="Garamond" w:eastAsiaTheme="minorHAnsi" w:hAnsi="Garamond" w:cs="Garamond"/>
                <w:b/>
                <w:bCs/>
                <w:color w:val="000000"/>
                <w:sz w:val="22"/>
                <w:szCs w:val="22"/>
                <w:lang w:eastAsia="en-US"/>
              </w:rPr>
              <w:t>станом на 31.12.201</w:t>
            </w:r>
            <w:r w:rsidR="0092209A">
              <w:rPr>
                <w:rFonts w:ascii="Garamond" w:eastAsiaTheme="minorHAnsi" w:hAnsi="Garamond" w:cs="Garamond"/>
                <w:b/>
                <w:bCs/>
                <w:color w:val="000000"/>
                <w:sz w:val="22"/>
                <w:szCs w:val="22"/>
                <w:lang w:val="uk-UA" w:eastAsia="en-US"/>
              </w:rPr>
              <w:t>7</w:t>
            </w:r>
            <w:r w:rsidRPr="00C834BE">
              <w:rPr>
                <w:rFonts w:ascii="Garamond" w:eastAsiaTheme="minorHAnsi" w:hAnsi="Garamond" w:cs="Garamond"/>
                <w:b/>
                <w:bCs/>
                <w:color w:val="000000"/>
                <w:sz w:val="22"/>
                <w:szCs w:val="22"/>
                <w:lang w:eastAsia="en-US"/>
              </w:rPr>
              <w:t xml:space="preserve"> року </w:t>
            </w:r>
          </w:p>
        </w:tc>
      </w:tr>
      <w:tr w:rsidR="00590228" w:rsidRPr="00C834BE" w:rsidTr="00423390">
        <w:trPr>
          <w:trHeight w:val="290"/>
        </w:trPr>
        <w:tc>
          <w:tcPr>
            <w:tcW w:w="5011" w:type="dxa"/>
            <w:tcBorders>
              <w:top w:val="single" w:sz="2" w:space="0" w:color="000000"/>
              <w:left w:val="single" w:sz="2" w:space="0" w:color="000000"/>
              <w:bottom w:val="single" w:sz="2" w:space="0" w:color="000000"/>
              <w:right w:val="single" w:sz="2" w:space="0" w:color="000000"/>
            </w:tcBorders>
          </w:tcPr>
          <w:p w:rsidR="00590228" w:rsidRPr="00C834BE" w:rsidRDefault="00590228" w:rsidP="004047BD">
            <w:pPr>
              <w:suppressAutoHyphens w:val="0"/>
              <w:autoSpaceDE w:val="0"/>
              <w:autoSpaceDN w:val="0"/>
              <w:adjustRightInd w:val="0"/>
              <w:ind w:firstLine="1702"/>
              <w:jc w:val="both"/>
              <w:rPr>
                <w:rFonts w:ascii="Garamond" w:eastAsiaTheme="minorHAnsi" w:hAnsi="Garamond" w:cs="Garamond"/>
                <w:i/>
                <w:iCs/>
                <w:color w:val="000000"/>
                <w:lang w:eastAsia="en-US"/>
              </w:rPr>
            </w:pPr>
            <w:r w:rsidRPr="00C834BE">
              <w:rPr>
                <w:rFonts w:ascii="Garamond" w:eastAsiaTheme="minorHAnsi" w:hAnsi="Garamond" w:cs="Garamond"/>
                <w:i/>
                <w:iCs/>
                <w:color w:val="000000"/>
                <w:sz w:val="22"/>
                <w:szCs w:val="22"/>
                <w:lang w:eastAsia="en-US"/>
              </w:rPr>
              <w:t>(в тисячах гривень)</w:t>
            </w:r>
          </w:p>
        </w:tc>
        <w:tc>
          <w:tcPr>
            <w:tcW w:w="2107" w:type="dxa"/>
            <w:tcBorders>
              <w:top w:val="single" w:sz="2" w:space="0" w:color="000000"/>
              <w:left w:val="single" w:sz="2" w:space="0" w:color="000000"/>
              <w:bottom w:val="single" w:sz="2" w:space="0" w:color="000000"/>
              <w:right w:val="single" w:sz="2" w:space="0" w:color="000000"/>
            </w:tcBorders>
          </w:tcPr>
          <w:p w:rsidR="00590228" w:rsidRPr="00C834BE" w:rsidRDefault="00590228" w:rsidP="004047BD">
            <w:pPr>
              <w:suppressAutoHyphens w:val="0"/>
              <w:autoSpaceDE w:val="0"/>
              <w:autoSpaceDN w:val="0"/>
              <w:adjustRightInd w:val="0"/>
              <w:ind w:firstLine="1702"/>
              <w:jc w:val="both"/>
              <w:rPr>
                <w:rFonts w:ascii="Garamond" w:eastAsiaTheme="minorHAnsi" w:hAnsi="Garamond" w:cs="Garamond"/>
                <w:color w:val="000000"/>
                <w:lang w:eastAsia="en-US"/>
              </w:rPr>
            </w:pPr>
          </w:p>
        </w:tc>
        <w:tc>
          <w:tcPr>
            <w:tcW w:w="2127" w:type="dxa"/>
            <w:tcBorders>
              <w:top w:val="single" w:sz="2" w:space="0" w:color="000000"/>
              <w:left w:val="single" w:sz="2" w:space="0" w:color="000000"/>
              <w:bottom w:val="single" w:sz="2" w:space="0" w:color="000000"/>
              <w:right w:val="single" w:sz="2" w:space="0" w:color="000000"/>
            </w:tcBorders>
          </w:tcPr>
          <w:p w:rsidR="00590228" w:rsidRPr="00C834BE" w:rsidRDefault="00590228" w:rsidP="004047BD">
            <w:pPr>
              <w:suppressAutoHyphens w:val="0"/>
              <w:autoSpaceDE w:val="0"/>
              <w:autoSpaceDN w:val="0"/>
              <w:adjustRightInd w:val="0"/>
              <w:ind w:firstLine="1702"/>
              <w:jc w:val="both"/>
              <w:rPr>
                <w:rFonts w:ascii="Garamond" w:eastAsiaTheme="minorHAnsi" w:hAnsi="Garamond" w:cs="Garamond"/>
                <w:color w:val="000000"/>
                <w:lang w:eastAsia="en-US"/>
              </w:rPr>
            </w:pPr>
          </w:p>
        </w:tc>
      </w:tr>
      <w:tr w:rsidR="00590228" w:rsidRPr="00C834BE" w:rsidTr="00423390">
        <w:trPr>
          <w:trHeight w:val="290"/>
        </w:trPr>
        <w:tc>
          <w:tcPr>
            <w:tcW w:w="5011" w:type="dxa"/>
            <w:tcBorders>
              <w:top w:val="single" w:sz="2" w:space="0" w:color="000000"/>
              <w:left w:val="single" w:sz="2" w:space="0" w:color="000000"/>
              <w:bottom w:val="single" w:sz="2" w:space="0" w:color="000000"/>
              <w:right w:val="single" w:sz="2" w:space="0" w:color="000000"/>
            </w:tcBorders>
          </w:tcPr>
          <w:p w:rsidR="00590228" w:rsidRPr="00C834BE" w:rsidRDefault="00590228" w:rsidP="004047BD">
            <w:pPr>
              <w:suppressAutoHyphens w:val="0"/>
              <w:autoSpaceDE w:val="0"/>
              <w:autoSpaceDN w:val="0"/>
              <w:adjustRightInd w:val="0"/>
              <w:ind w:firstLine="1702"/>
              <w:jc w:val="both"/>
              <w:rPr>
                <w:rFonts w:ascii="Garamond" w:eastAsiaTheme="minorHAnsi" w:hAnsi="Garamond" w:cs="Garamond"/>
                <w:color w:val="000000"/>
                <w:lang w:eastAsia="en-US"/>
              </w:rPr>
            </w:pPr>
          </w:p>
        </w:tc>
        <w:tc>
          <w:tcPr>
            <w:tcW w:w="2107" w:type="dxa"/>
            <w:tcBorders>
              <w:top w:val="single" w:sz="2" w:space="0" w:color="000000"/>
              <w:left w:val="single" w:sz="2" w:space="0" w:color="000000"/>
              <w:bottom w:val="single" w:sz="6" w:space="0" w:color="auto"/>
              <w:right w:val="single" w:sz="2" w:space="0" w:color="000000"/>
            </w:tcBorders>
          </w:tcPr>
          <w:p w:rsidR="00590228" w:rsidRPr="00E508C6" w:rsidRDefault="00590228" w:rsidP="004047BD">
            <w:pPr>
              <w:suppressAutoHyphens w:val="0"/>
              <w:autoSpaceDE w:val="0"/>
              <w:autoSpaceDN w:val="0"/>
              <w:adjustRightInd w:val="0"/>
              <w:ind w:right="-130"/>
              <w:jc w:val="both"/>
              <w:rPr>
                <w:rFonts w:ascii="Garamond" w:eastAsiaTheme="minorHAnsi" w:hAnsi="Garamond" w:cs="Garamond"/>
                <w:b/>
                <w:bCs/>
                <w:color w:val="000000"/>
                <w:lang w:val="uk-UA" w:eastAsia="en-US"/>
              </w:rPr>
            </w:pPr>
            <w:r>
              <w:rPr>
                <w:rFonts w:ascii="Garamond" w:eastAsiaTheme="minorHAnsi" w:hAnsi="Garamond" w:cs="Garamond"/>
                <w:b/>
                <w:bCs/>
                <w:color w:val="000000"/>
                <w:sz w:val="22"/>
                <w:szCs w:val="22"/>
                <w:lang w:eastAsia="en-US"/>
              </w:rPr>
              <w:t>31 декабря 201</w:t>
            </w:r>
            <w:r w:rsidR="008B36FD">
              <w:rPr>
                <w:rFonts w:ascii="Garamond" w:eastAsiaTheme="minorHAnsi" w:hAnsi="Garamond" w:cs="Garamond"/>
                <w:b/>
                <w:bCs/>
                <w:color w:val="000000"/>
                <w:sz w:val="22"/>
                <w:szCs w:val="22"/>
                <w:lang w:val="uk-UA" w:eastAsia="en-US"/>
              </w:rPr>
              <w:t>7</w:t>
            </w:r>
            <w:r w:rsidR="00423390">
              <w:rPr>
                <w:rFonts w:ascii="Garamond" w:eastAsiaTheme="minorHAnsi" w:hAnsi="Garamond" w:cs="Garamond"/>
                <w:b/>
                <w:bCs/>
                <w:color w:val="000000"/>
                <w:sz w:val="22"/>
                <w:szCs w:val="22"/>
                <w:lang w:eastAsia="en-US"/>
              </w:rPr>
              <w:t xml:space="preserve"> </w:t>
            </w:r>
            <w:r w:rsidR="00423390">
              <w:rPr>
                <w:rFonts w:ascii="Garamond" w:eastAsiaTheme="minorHAnsi" w:hAnsi="Garamond" w:cs="Garamond"/>
                <w:b/>
                <w:bCs/>
                <w:color w:val="000000"/>
                <w:sz w:val="22"/>
                <w:szCs w:val="22"/>
                <w:lang w:val="uk-UA" w:eastAsia="en-US"/>
              </w:rPr>
              <w:t>р</w:t>
            </w:r>
            <w:r w:rsidRPr="00C834BE">
              <w:rPr>
                <w:rFonts w:ascii="Garamond" w:eastAsiaTheme="minorHAnsi" w:hAnsi="Garamond" w:cs="Garamond"/>
                <w:b/>
                <w:bCs/>
                <w:color w:val="000000"/>
                <w:sz w:val="22"/>
                <w:szCs w:val="22"/>
                <w:lang w:eastAsia="en-US"/>
              </w:rPr>
              <w:t>.</w:t>
            </w:r>
          </w:p>
        </w:tc>
        <w:tc>
          <w:tcPr>
            <w:tcW w:w="2127" w:type="dxa"/>
            <w:tcBorders>
              <w:top w:val="single" w:sz="2" w:space="0" w:color="000000"/>
              <w:left w:val="single" w:sz="2" w:space="0" w:color="000000"/>
              <w:bottom w:val="single" w:sz="6" w:space="0" w:color="auto"/>
              <w:right w:val="single" w:sz="2" w:space="0" w:color="000000"/>
            </w:tcBorders>
          </w:tcPr>
          <w:p w:rsidR="00590228" w:rsidRPr="00C834BE" w:rsidRDefault="00423390" w:rsidP="004047BD">
            <w:pPr>
              <w:tabs>
                <w:tab w:val="left" w:pos="831"/>
              </w:tabs>
              <w:suppressAutoHyphens w:val="0"/>
              <w:autoSpaceDE w:val="0"/>
              <w:autoSpaceDN w:val="0"/>
              <w:adjustRightInd w:val="0"/>
              <w:jc w:val="both"/>
              <w:rPr>
                <w:rFonts w:ascii="Garamond" w:eastAsiaTheme="minorHAnsi" w:hAnsi="Garamond" w:cs="Garamond"/>
                <w:b/>
                <w:bCs/>
                <w:color w:val="000000"/>
                <w:lang w:eastAsia="en-US"/>
              </w:rPr>
            </w:pPr>
            <w:r>
              <w:rPr>
                <w:rFonts w:ascii="Garamond" w:eastAsiaTheme="minorHAnsi" w:hAnsi="Garamond" w:cs="Garamond"/>
                <w:b/>
                <w:bCs/>
                <w:color w:val="000000"/>
                <w:sz w:val="22"/>
                <w:szCs w:val="22"/>
                <w:lang w:eastAsia="en-US"/>
              </w:rPr>
              <w:t>31 декабря 201</w:t>
            </w:r>
            <w:r>
              <w:rPr>
                <w:rFonts w:ascii="Garamond" w:eastAsiaTheme="minorHAnsi" w:hAnsi="Garamond" w:cs="Garamond"/>
                <w:b/>
                <w:bCs/>
                <w:color w:val="000000"/>
                <w:sz w:val="22"/>
                <w:szCs w:val="22"/>
                <w:lang w:val="uk-UA" w:eastAsia="en-US"/>
              </w:rPr>
              <w:t>6</w:t>
            </w:r>
            <w:r w:rsidR="00590228" w:rsidRPr="00C834BE">
              <w:rPr>
                <w:rFonts w:ascii="Garamond" w:eastAsiaTheme="minorHAnsi" w:hAnsi="Garamond" w:cs="Garamond"/>
                <w:b/>
                <w:bCs/>
                <w:color w:val="000000"/>
                <w:sz w:val="22"/>
                <w:szCs w:val="22"/>
                <w:lang w:eastAsia="en-US"/>
              </w:rPr>
              <w:t xml:space="preserve"> г.</w:t>
            </w:r>
          </w:p>
        </w:tc>
      </w:tr>
      <w:tr w:rsidR="00590228" w:rsidRPr="00C834BE" w:rsidTr="00423390">
        <w:trPr>
          <w:trHeight w:val="290"/>
        </w:trPr>
        <w:tc>
          <w:tcPr>
            <w:tcW w:w="5011" w:type="dxa"/>
            <w:tcBorders>
              <w:top w:val="single" w:sz="2" w:space="0" w:color="000000"/>
              <w:left w:val="single" w:sz="2" w:space="0" w:color="000000"/>
              <w:bottom w:val="single" w:sz="2" w:space="0" w:color="000000"/>
              <w:right w:val="single" w:sz="2" w:space="0" w:color="000000"/>
            </w:tcBorders>
          </w:tcPr>
          <w:p w:rsidR="00590228" w:rsidRPr="00C834BE" w:rsidRDefault="00590228" w:rsidP="004047BD">
            <w:pPr>
              <w:suppressAutoHyphens w:val="0"/>
              <w:autoSpaceDE w:val="0"/>
              <w:autoSpaceDN w:val="0"/>
              <w:adjustRightInd w:val="0"/>
              <w:jc w:val="both"/>
              <w:rPr>
                <w:rFonts w:ascii="Garamond" w:eastAsiaTheme="minorHAnsi" w:hAnsi="Garamond" w:cs="Garamond"/>
                <w:b/>
                <w:bCs/>
                <w:color w:val="000000"/>
                <w:lang w:eastAsia="en-US"/>
              </w:rPr>
            </w:pPr>
            <w:r w:rsidRPr="00C834BE">
              <w:rPr>
                <w:rFonts w:ascii="Garamond" w:eastAsiaTheme="minorHAnsi" w:hAnsi="Garamond" w:cs="Garamond"/>
                <w:b/>
                <w:bCs/>
                <w:color w:val="000000"/>
                <w:sz w:val="22"/>
                <w:szCs w:val="22"/>
                <w:lang w:eastAsia="en-US"/>
              </w:rPr>
              <w:t>АКТИВИ</w:t>
            </w:r>
          </w:p>
        </w:tc>
        <w:tc>
          <w:tcPr>
            <w:tcW w:w="2107" w:type="dxa"/>
            <w:tcBorders>
              <w:top w:val="single" w:sz="6" w:space="0" w:color="auto"/>
              <w:left w:val="single" w:sz="2" w:space="0" w:color="000000"/>
              <w:bottom w:val="single" w:sz="2" w:space="0" w:color="000000"/>
              <w:right w:val="single" w:sz="2" w:space="0" w:color="000000"/>
            </w:tcBorders>
          </w:tcPr>
          <w:p w:rsidR="00590228" w:rsidRPr="00C834BE" w:rsidRDefault="00590228" w:rsidP="004047BD">
            <w:pPr>
              <w:suppressAutoHyphens w:val="0"/>
              <w:autoSpaceDE w:val="0"/>
              <w:autoSpaceDN w:val="0"/>
              <w:adjustRightInd w:val="0"/>
              <w:ind w:right="-130"/>
              <w:jc w:val="both"/>
              <w:rPr>
                <w:rFonts w:ascii="Garamond" w:eastAsiaTheme="minorHAnsi" w:hAnsi="Garamond" w:cs="Garamond"/>
                <w:b/>
                <w:bCs/>
                <w:color w:val="000000"/>
                <w:lang w:eastAsia="en-US"/>
              </w:rPr>
            </w:pPr>
          </w:p>
        </w:tc>
        <w:tc>
          <w:tcPr>
            <w:tcW w:w="2127" w:type="dxa"/>
            <w:tcBorders>
              <w:top w:val="single" w:sz="6" w:space="0" w:color="auto"/>
              <w:left w:val="single" w:sz="2" w:space="0" w:color="000000"/>
              <w:bottom w:val="single" w:sz="2" w:space="0" w:color="000000"/>
              <w:right w:val="single" w:sz="2" w:space="0" w:color="000000"/>
            </w:tcBorders>
          </w:tcPr>
          <w:p w:rsidR="00590228" w:rsidRPr="00C834BE" w:rsidRDefault="00590228" w:rsidP="004047BD">
            <w:pPr>
              <w:tabs>
                <w:tab w:val="left" w:pos="831"/>
              </w:tabs>
              <w:suppressAutoHyphens w:val="0"/>
              <w:autoSpaceDE w:val="0"/>
              <w:autoSpaceDN w:val="0"/>
              <w:adjustRightInd w:val="0"/>
              <w:jc w:val="both"/>
              <w:rPr>
                <w:rFonts w:ascii="Garamond" w:eastAsiaTheme="minorHAnsi" w:hAnsi="Garamond" w:cs="Garamond"/>
                <w:b/>
                <w:bCs/>
                <w:color w:val="000000"/>
                <w:lang w:eastAsia="en-US"/>
              </w:rPr>
            </w:pPr>
          </w:p>
        </w:tc>
      </w:tr>
      <w:tr w:rsidR="00590228" w:rsidRPr="00C834BE" w:rsidTr="00423390">
        <w:trPr>
          <w:trHeight w:val="290"/>
        </w:trPr>
        <w:tc>
          <w:tcPr>
            <w:tcW w:w="5011" w:type="dxa"/>
            <w:tcBorders>
              <w:top w:val="single" w:sz="2" w:space="0" w:color="000000"/>
              <w:left w:val="single" w:sz="2" w:space="0" w:color="000000"/>
              <w:bottom w:val="single" w:sz="2" w:space="0" w:color="000000"/>
              <w:right w:val="single" w:sz="2" w:space="0" w:color="000000"/>
            </w:tcBorders>
          </w:tcPr>
          <w:p w:rsidR="00590228" w:rsidRPr="00C834BE" w:rsidRDefault="00590228" w:rsidP="004047BD">
            <w:pPr>
              <w:suppressAutoHyphens w:val="0"/>
              <w:autoSpaceDE w:val="0"/>
              <w:autoSpaceDN w:val="0"/>
              <w:adjustRightInd w:val="0"/>
              <w:jc w:val="both"/>
              <w:rPr>
                <w:rFonts w:ascii="Garamond" w:eastAsiaTheme="minorHAnsi" w:hAnsi="Garamond" w:cs="Garamond"/>
                <w:color w:val="000000"/>
                <w:lang w:eastAsia="en-US"/>
              </w:rPr>
            </w:pPr>
            <w:r w:rsidRPr="00C834BE">
              <w:rPr>
                <w:rFonts w:ascii="Garamond" w:eastAsiaTheme="minorHAnsi" w:hAnsi="Garamond" w:cs="Garamond"/>
                <w:color w:val="000000"/>
                <w:sz w:val="22"/>
                <w:szCs w:val="22"/>
                <w:lang w:eastAsia="en-US"/>
              </w:rPr>
              <w:t>Необоротні активи</w:t>
            </w:r>
          </w:p>
        </w:tc>
        <w:tc>
          <w:tcPr>
            <w:tcW w:w="2107" w:type="dxa"/>
            <w:tcBorders>
              <w:top w:val="single" w:sz="2" w:space="0" w:color="000000"/>
              <w:left w:val="single" w:sz="2" w:space="0" w:color="000000"/>
              <w:bottom w:val="single" w:sz="2" w:space="0" w:color="000000"/>
              <w:right w:val="single" w:sz="2" w:space="0" w:color="000000"/>
            </w:tcBorders>
          </w:tcPr>
          <w:p w:rsidR="00590228" w:rsidRPr="00C834BE" w:rsidRDefault="00590228" w:rsidP="004047BD">
            <w:pPr>
              <w:suppressAutoHyphens w:val="0"/>
              <w:autoSpaceDE w:val="0"/>
              <w:autoSpaceDN w:val="0"/>
              <w:adjustRightInd w:val="0"/>
              <w:ind w:right="-130"/>
              <w:jc w:val="both"/>
              <w:rPr>
                <w:rFonts w:ascii="Garamond" w:eastAsiaTheme="minorHAnsi" w:hAnsi="Garamond" w:cs="Garamond"/>
                <w:color w:val="000000"/>
                <w:lang w:eastAsia="en-US"/>
              </w:rPr>
            </w:pPr>
          </w:p>
        </w:tc>
        <w:tc>
          <w:tcPr>
            <w:tcW w:w="2127" w:type="dxa"/>
            <w:tcBorders>
              <w:top w:val="single" w:sz="2" w:space="0" w:color="000000"/>
              <w:left w:val="single" w:sz="2" w:space="0" w:color="000000"/>
              <w:bottom w:val="single" w:sz="2" w:space="0" w:color="000000"/>
              <w:right w:val="single" w:sz="2" w:space="0" w:color="000000"/>
            </w:tcBorders>
          </w:tcPr>
          <w:p w:rsidR="00590228" w:rsidRPr="00C834BE" w:rsidRDefault="00590228" w:rsidP="004047BD">
            <w:pPr>
              <w:tabs>
                <w:tab w:val="left" w:pos="831"/>
              </w:tabs>
              <w:suppressAutoHyphens w:val="0"/>
              <w:autoSpaceDE w:val="0"/>
              <w:autoSpaceDN w:val="0"/>
              <w:adjustRightInd w:val="0"/>
              <w:jc w:val="both"/>
              <w:rPr>
                <w:rFonts w:ascii="Garamond" w:eastAsiaTheme="minorHAnsi" w:hAnsi="Garamond" w:cs="Garamond"/>
                <w:color w:val="000000"/>
                <w:lang w:eastAsia="en-US"/>
              </w:rPr>
            </w:pPr>
          </w:p>
        </w:tc>
      </w:tr>
      <w:tr w:rsidR="00590228" w:rsidRPr="00C834BE" w:rsidTr="00423390">
        <w:trPr>
          <w:trHeight w:val="290"/>
        </w:trPr>
        <w:tc>
          <w:tcPr>
            <w:tcW w:w="5011" w:type="dxa"/>
            <w:tcBorders>
              <w:top w:val="single" w:sz="2" w:space="0" w:color="000000"/>
              <w:left w:val="single" w:sz="2" w:space="0" w:color="000000"/>
              <w:bottom w:val="single" w:sz="2" w:space="0" w:color="000000"/>
              <w:right w:val="single" w:sz="2" w:space="0" w:color="000000"/>
            </w:tcBorders>
          </w:tcPr>
          <w:p w:rsidR="00590228" w:rsidRPr="00C834BE" w:rsidRDefault="00590228" w:rsidP="004047BD">
            <w:pPr>
              <w:suppressAutoHyphens w:val="0"/>
              <w:autoSpaceDE w:val="0"/>
              <w:autoSpaceDN w:val="0"/>
              <w:adjustRightInd w:val="0"/>
              <w:jc w:val="both"/>
              <w:rPr>
                <w:rFonts w:ascii="Garamond" w:eastAsiaTheme="minorHAnsi" w:hAnsi="Garamond" w:cs="Garamond"/>
                <w:color w:val="000000"/>
                <w:lang w:eastAsia="en-US"/>
              </w:rPr>
            </w:pPr>
            <w:r w:rsidRPr="00C834BE">
              <w:rPr>
                <w:rFonts w:ascii="Garamond" w:eastAsiaTheme="minorHAnsi" w:hAnsi="Garamond" w:cs="Garamond"/>
                <w:color w:val="000000"/>
                <w:sz w:val="22"/>
                <w:szCs w:val="22"/>
                <w:lang w:eastAsia="en-US"/>
              </w:rPr>
              <w:t xml:space="preserve">   основні засоби</w:t>
            </w:r>
          </w:p>
        </w:tc>
        <w:tc>
          <w:tcPr>
            <w:tcW w:w="2107" w:type="dxa"/>
            <w:tcBorders>
              <w:top w:val="single" w:sz="2" w:space="0" w:color="000000"/>
              <w:left w:val="single" w:sz="2" w:space="0" w:color="000000"/>
              <w:bottom w:val="single" w:sz="2" w:space="0" w:color="000000"/>
              <w:right w:val="single" w:sz="2" w:space="0" w:color="000000"/>
            </w:tcBorders>
          </w:tcPr>
          <w:p w:rsidR="00590228" w:rsidRPr="00B82C44" w:rsidRDefault="00B82C44" w:rsidP="00B82C44">
            <w:pPr>
              <w:suppressAutoHyphens w:val="0"/>
              <w:autoSpaceDE w:val="0"/>
              <w:autoSpaceDN w:val="0"/>
              <w:adjustRightInd w:val="0"/>
              <w:ind w:right="-130"/>
              <w:jc w:val="center"/>
              <w:rPr>
                <w:rFonts w:ascii="Garamond" w:eastAsiaTheme="minorHAnsi" w:hAnsi="Garamond" w:cs="Garamond"/>
                <w:color w:val="000000"/>
                <w:lang w:val="uk-UA" w:eastAsia="en-US"/>
              </w:rPr>
            </w:pPr>
            <w:r>
              <w:rPr>
                <w:rFonts w:ascii="Garamond" w:eastAsiaTheme="minorHAnsi" w:hAnsi="Garamond" w:cs="Garamond"/>
                <w:color w:val="000000"/>
                <w:lang w:val="uk-UA" w:eastAsia="en-US"/>
              </w:rPr>
              <w:t>-</w:t>
            </w:r>
          </w:p>
        </w:tc>
        <w:tc>
          <w:tcPr>
            <w:tcW w:w="2127" w:type="dxa"/>
            <w:tcBorders>
              <w:top w:val="single" w:sz="2" w:space="0" w:color="000000"/>
              <w:left w:val="single" w:sz="2" w:space="0" w:color="000000"/>
              <w:bottom w:val="single" w:sz="2" w:space="0" w:color="000000"/>
              <w:right w:val="single" w:sz="2" w:space="0" w:color="000000"/>
            </w:tcBorders>
          </w:tcPr>
          <w:p w:rsidR="00590228" w:rsidRPr="00C834BE" w:rsidRDefault="00590228" w:rsidP="004047BD">
            <w:pPr>
              <w:tabs>
                <w:tab w:val="left" w:pos="831"/>
              </w:tabs>
              <w:suppressAutoHyphens w:val="0"/>
              <w:autoSpaceDE w:val="0"/>
              <w:autoSpaceDN w:val="0"/>
              <w:adjustRightInd w:val="0"/>
              <w:jc w:val="both"/>
              <w:rPr>
                <w:rFonts w:ascii="Garamond" w:eastAsiaTheme="minorHAnsi" w:hAnsi="Garamond" w:cs="Garamond"/>
                <w:color w:val="000000"/>
                <w:lang w:eastAsia="en-US"/>
              </w:rPr>
            </w:pPr>
            <w:r>
              <w:rPr>
                <w:rFonts w:ascii="Garamond" w:eastAsiaTheme="minorHAnsi" w:hAnsi="Garamond" w:cs="Garamond"/>
                <w:color w:val="000000"/>
                <w:sz w:val="22"/>
                <w:szCs w:val="22"/>
                <w:lang w:eastAsia="en-US"/>
              </w:rPr>
              <w:t>-</w:t>
            </w:r>
          </w:p>
        </w:tc>
      </w:tr>
      <w:tr w:rsidR="00590228" w:rsidRPr="00C834BE" w:rsidTr="00423390">
        <w:trPr>
          <w:trHeight w:val="290"/>
        </w:trPr>
        <w:tc>
          <w:tcPr>
            <w:tcW w:w="5011" w:type="dxa"/>
            <w:tcBorders>
              <w:top w:val="single" w:sz="2" w:space="0" w:color="000000"/>
              <w:left w:val="single" w:sz="2" w:space="0" w:color="000000"/>
              <w:bottom w:val="single" w:sz="2" w:space="0" w:color="000000"/>
              <w:right w:val="nil"/>
            </w:tcBorders>
          </w:tcPr>
          <w:p w:rsidR="00590228" w:rsidRPr="00C834BE" w:rsidRDefault="00590228" w:rsidP="004047BD">
            <w:pPr>
              <w:suppressAutoHyphens w:val="0"/>
              <w:autoSpaceDE w:val="0"/>
              <w:autoSpaceDN w:val="0"/>
              <w:adjustRightInd w:val="0"/>
              <w:jc w:val="both"/>
              <w:rPr>
                <w:rFonts w:ascii="Garamond" w:eastAsiaTheme="minorHAnsi" w:hAnsi="Garamond" w:cs="Garamond"/>
                <w:b/>
                <w:bCs/>
                <w:color w:val="000000"/>
                <w:lang w:eastAsia="en-US"/>
              </w:rPr>
            </w:pPr>
            <w:r w:rsidRPr="00C834BE">
              <w:rPr>
                <w:rFonts w:ascii="Garamond" w:eastAsiaTheme="minorHAnsi" w:hAnsi="Garamond" w:cs="Garamond"/>
                <w:b/>
                <w:bCs/>
                <w:color w:val="000000"/>
                <w:sz w:val="22"/>
                <w:szCs w:val="22"/>
                <w:lang w:eastAsia="en-US"/>
              </w:rPr>
              <w:t>Всього необоротні активи</w:t>
            </w:r>
          </w:p>
        </w:tc>
        <w:tc>
          <w:tcPr>
            <w:tcW w:w="2107" w:type="dxa"/>
            <w:tcBorders>
              <w:top w:val="single" w:sz="2" w:space="0" w:color="000000"/>
              <w:left w:val="nil"/>
              <w:bottom w:val="single" w:sz="2" w:space="0" w:color="000000"/>
              <w:right w:val="single" w:sz="2" w:space="0" w:color="000000"/>
            </w:tcBorders>
          </w:tcPr>
          <w:p w:rsidR="00590228" w:rsidRPr="00B82C44" w:rsidRDefault="00B82C44" w:rsidP="00B82C44">
            <w:pPr>
              <w:suppressAutoHyphens w:val="0"/>
              <w:autoSpaceDE w:val="0"/>
              <w:autoSpaceDN w:val="0"/>
              <w:adjustRightInd w:val="0"/>
              <w:ind w:right="-130"/>
              <w:jc w:val="center"/>
              <w:rPr>
                <w:rFonts w:ascii="Garamond" w:eastAsiaTheme="minorHAnsi" w:hAnsi="Garamond" w:cs="Garamond"/>
                <w:b/>
                <w:bCs/>
                <w:color w:val="000000"/>
                <w:lang w:val="uk-UA" w:eastAsia="en-US"/>
              </w:rPr>
            </w:pPr>
            <w:r>
              <w:rPr>
                <w:rFonts w:ascii="Garamond" w:eastAsiaTheme="minorHAnsi" w:hAnsi="Garamond" w:cs="Garamond"/>
                <w:b/>
                <w:bCs/>
                <w:color w:val="000000"/>
                <w:lang w:val="uk-UA" w:eastAsia="en-US"/>
              </w:rPr>
              <w:t>-</w:t>
            </w:r>
          </w:p>
        </w:tc>
        <w:tc>
          <w:tcPr>
            <w:tcW w:w="2127" w:type="dxa"/>
            <w:tcBorders>
              <w:top w:val="single" w:sz="2" w:space="0" w:color="000000"/>
              <w:left w:val="single" w:sz="2" w:space="0" w:color="000000"/>
              <w:bottom w:val="single" w:sz="6" w:space="0" w:color="auto"/>
              <w:right w:val="single" w:sz="2" w:space="0" w:color="000000"/>
            </w:tcBorders>
          </w:tcPr>
          <w:p w:rsidR="00590228" w:rsidRPr="00C834BE" w:rsidRDefault="00590228" w:rsidP="004047BD">
            <w:pPr>
              <w:tabs>
                <w:tab w:val="left" w:pos="831"/>
              </w:tabs>
              <w:suppressAutoHyphens w:val="0"/>
              <w:autoSpaceDE w:val="0"/>
              <w:autoSpaceDN w:val="0"/>
              <w:adjustRightInd w:val="0"/>
              <w:jc w:val="both"/>
              <w:rPr>
                <w:rFonts w:ascii="Garamond" w:eastAsiaTheme="minorHAnsi" w:hAnsi="Garamond" w:cs="Garamond"/>
                <w:b/>
                <w:bCs/>
                <w:color w:val="000000"/>
                <w:lang w:eastAsia="en-US"/>
              </w:rPr>
            </w:pPr>
            <w:r>
              <w:rPr>
                <w:rFonts w:ascii="Garamond" w:eastAsiaTheme="minorHAnsi" w:hAnsi="Garamond" w:cs="Garamond"/>
                <w:b/>
                <w:bCs/>
                <w:color w:val="000000"/>
                <w:sz w:val="22"/>
                <w:szCs w:val="22"/>
                <w:lang w:eastAsia="en-US"/>
              </w:rPr>
              <w:t>-</w:t>
            </w:r>
          </w:p>
        </w:tc>
      </w:tr>
      <w:tr w:rsidR="00590228" w:rsidRPr="00C834BE" w:rsidTr="00423390">
        <w:trPr>
          <w:trHeight w:val="290"/>
        </w:trPr>
        <w:tc>
          <w:tcPr>
            <w:tcW w:w="5011" w:type="dxa"/>
            <w:tcBorders>
              <w:top w:val="single" w:sz="2" w:space="0" w:color="000000"/>
              <w:left w:val="single" w:sz="2" w:space="0" w:color="000000"/>
              <w:bottom w:val="single" w:sz="2" w:space="0" w:color="000000"/>
              <w:right w:val="single" w:sz="2" w:space="0" w:color="000000"/>
            </w:tcBorders>
          </w:tcPr>
          <w:p w:rsidR="00590228" w:rsidRPr="00C834BE" w:rsidRDefault="00590228" w:rsidP="004047BD">
            <w:pPr>
              <w:suppressAutoHyphens w:val="0"/>
              <w:autoSpaceDE w:val="0"/>
              <w:autoSpaceDN w:val="0"/>
              <w:adjustRightInd w:val="0"/>
              <w:jc w:val="both"/>
              <w:rPr>
                <w:rFonts w:ascii="Garamond" w:eastAsiaTheme="minorHAnsi" w:hAnsi="Garamond" w:cs="Garamond"/>
                <w:color w:val="000000"/>
                <w:lang w:eastAsia="en-US"/>
              </w:rPr>
            </w:pPr>
            <w:r w:rsidRPr="00C834BE">
              <w:rPr>
                <w:rFonts w:ascii="Garamond" w:eastAsiaTheme="minorHAnsi" w:hAnsi="Garamond" w:cs="Garamond"/>
                <w:color w:val="000000"/>
                <w:sz w:val="22"/>
                <w:szCs w:val="22"/>
                <w:lang w:eastAsia="en-US"/>
              </w:rPr>
              <w:t>Оборотні активи</w:t>
            </w:r>
          </w:p>
        </w:tc>
        <w:tc>
          <w:tcPr>
            <w:tcW w:w="2107" w:type="dxa"/>
            <w:tcBorders>
              <w:top w:val="single" w:sz="2" w:space="0" w:color="000000"/>
              <w:left w:val="single" w:sz="2" w:space="0" w:color="000000"/>
              <w:bottom w:val="single" w:sz="2" w:space="0" w:color="000000"/>
              <w:right w:val="single" w:sz="2" w:space="0" w:color="000000"/>
            </w:tcBorders>
          </w:tcPr>
          <w:p w:rsidR="00590228" w:rsidRPr="00E508C6" w:rsidRDefault="00B82C44" w:rsidP="00B82C44">
            <w:pPr>
              <w:suppressAutoHyphens w:val="0"/>
              <w:autoSpaceDE w:val="0"/>
              <w:autoSpaceDN w:val="0"/>
              <w:adjustRightInd w:val="0"/>
              <w:ind w:right="-130"/>
              <w:jc w:val="center"/>
              <w:rPr>
                <w:rFonts w:ascii="Garamond" w:eastAsiaTheme="minorHAnsi" w:hAnsi="Garamond" w:cs="Garamond"/>
                <w:color w:val="000000"/>
                <w:lang w:val="uk-UA" w:eastAsia="en-US"/>
              </w:rPr>
            </w:pPr>
            <w:r>
              <w:rPr>
                <w:rFonts w:ascii="Garamond" w:eastAsiaTheme="minorHAnsi" w:hAnsi="Garamond" w:cs="Garamond"/>
                <w:color w:val="000000"/>
                <w:lang w:val="uk-UA" w:eastAsia="en-US"/>
              </w:rPr>
              <w:t>1305</w:t>
            </w:r>
          </w:p>
        </w:tc>
        <w:tc>
          <w:tcPr>
            <w:tcW w:w="2127" w:type="dxa"/>
            <w:tcBorders>
              <w:top w:val="single" w:sz="6" w:space="0" w:color="auto"/>
              <w:left w:val="single" w:sz="2" w:space="0" w:color="000000"/>
              <w:bottom w:val="single" w:sz="2" w:space="0" w:color="000000"/>
              <w:right w:val="single" w:sz="2" w:space="0" w:color="000000"/>
            </w:tcBorders>
          </w:tcPr>
          <w:p w:rsidR="00590228" w:rsidRPr="003D5807" w:rsidRDefault="003D5807" w:rsidP="004047BD">
            <w:pPr>
              <w:tabs>
                <w:tab w:val="left" w:pos="831"/>
              </w:tabs>
              <w:suppressAutoHyphens w:val="0"/>
              <w:autoSpaceDE w:val="0"/>
              <w:autoSpaceDN w:val="0"/>
              <w:adjustRightInd w:val="0"/>
              <w:jc w:val="both"/>
              <w:rPr>
                <w:rFonts w:ascii="Garamond" w:eastAsiaTheme="minorHAnsi" w:hAnsi="Garamond" w:cs="Garamond"/>
                <w:color w:val="000000"/>
                <w:lang w:val="uk-UA" w:eastAsia="en-US"/>
              </w:rPr>
            </w:pPr>
            <w:r>
              <w:rPr>
                <w:rFonts w:ascii="Garamond" w:eastAsiaTheme="minorHAnsi" w:hAnsi="Garamond" w:cs="Garamond"/>
                <w:color w:val="000000"/>
                <w:lang w:val="uk-UA" w:eastAsia="en-US"/>
              </w:rPr>
              <w:t>1020</w:t>
            </w:r>
          </w:p>
        </w:tc>
      </w:tr>
      <w:tr w:rsidR="00590228" w:rsidRPr="00C834BE" w:rsidTr="00423390">
        <w:trPr>
          <w:trHeight w:val="290"/>
        </w:trPr>
        <w:tc>
          <w:tcPr>
            <w:tcW w:w="5011" w:type="dxa"/>
            <w:tcBorders>
              <w:top w:val="single" w:sz="2" w:space="0" w:color="000000"/>
              <w:left w:val="single" w:sz="2" w:space="0" w:color="000000"/>
              <w:bottom w:val="single" w:sz="2" w:space="0" w:color="000000"/>
              <w:right w:val="single" w:sz="2" w:space="0" w:color="000000"/>
            </w:tcBorders>
          </w:tcPr>
          <w:p w:rsidR="00590228" w:rsidRDefault="00590228" w:rsidP="004047BD">
            <w:pPr>
              <w:suppressAutoHyphens w:val="0"/>
              <w:autoSpaceDE w:val="0"/>
              <w:autoSpaceDN w:val="0"/>
              <w:adjustRightInd w:val="0"/>
              <w:jc w:val="both"/>
              <w:rPr>
                <w:rFonts w:ascii="Garamond" w:eastAsiaTheme="minorHAnsi" w:hAnsi="Garamond" w:cs="Garamond"/>
                <w:color w:val="000000"/>
                <w:lang w:eastAsia="en-US"/>
              </w:rPr>
            </w:pPr>
            <w:r w:rsidRPr="00C834BE">
              <w:rPr>
                <w:rFonts w:ascii="Garamond" w:eastAsiaTheme="minorHAnsi" w:hAnsi="Garamond" w:cs="Garamond"/>
                <w:color w:val="000000"/>
                <w:sz w:val="22"/>
                <w:szCs w:val="22"/>
                <w:lang w:eastAsia="en-US"/>
              </w:rPr>
              <w:t xml:space="preserve">   грошові кошти та їх еквіваленти</w:t>
            </w:r>
          </w:p>
          <w:p w:rsidR="00590228" w:rsidRPr="00C834BE" w:rsidRDefault="00590228" w:rsidP="004047BD">
            <w:pPr>
              <w:suppressAutoHyphens w:val="0"/>
              <w:autoSpaceDE w:val="0"/>
              <w:autoSpaceDN w:val="0"/>
              <w:adjustRightInd w:val="0"/>
              <w:jc w:val="both"/>
              <w:rPr>
                <w:rFonts w:ascii="Garamond" w:eastAsiaTheme="minorHAnsi" w:hAnsi="Garamond" w:cs="Garamond"/>
                <w:color w:val="000000"/>
                <w:lang w:eastAsia="en-US"/>
              </w:rPr>
            </w:pPr>
          </w:p>
        </w:tc>
        <w:tc>
          <w:tcPr>
            <w:tcW w:w="2107" w:type="dxa"/>
            <w:tcBorders>
              <w:top w:val="single" w:sz="2" w:space="0" w:color="000000"/>
              <w:left w:val="single" w:sz="2" w:space="0" w:color="000000"/>
              <w:bottom w:val="single" w:sz="2" w:space="0" w:color="000000"/>
              <w:right w:val="single" w:sz="2" w:space="0" w:color="000000"/>
            </w:tcBorders>
          </w:tcPr>
          <w:p w:rsidR="00590228" w:rsidRPr="00E508C6" w:rsidRDefault="00B82C44" w:rsidP="00B82C44">
            <w:pPr>
              <w:suppressAutoHyphens w:val="0"/>
              <w:autoSpaceDE w:val="0"/>
              <w:autoSpaceDN w:val="0"/>
              <w:adjustRightInd w:val="0"/>
              <w:ind w:right="-130"/>
              <w:jc w:val="center"/>
              <w:rPr>
                <w:rFonts w:ascii="Garamond" w:eastAsiaTheme="minorHAnsi" w:hAnsi="Garamond" w:cs="Garamond"/>
                <w:bCs/>
                <w:color w:val="000000"/>
                <w:lang w:val="uk-UA" w:eastAsia="en-US"/>
              </w:rPr>
            </w:pPr>
            <w:r>
              <w:rPr>
                <w:rFonts w:ascii="Garamond" w:eastAsiaTheme="minorHAnsi" w:hAnsi="Garamond" w:cs="Garamond"/>
                <w:bCs/>
                <w:color w:val="000000"/>
                <w:lang w:val="uk-UA" w:eastAsia="en-US"/>
              </w:rPr>
              <w:t>106</w:t>
            </w:r>
          </w:p>
        </w:tc>
        <w:tc>
          <w:tcPr>
            <w:tcW w:w="2127" w:type="dxa"/>
            <w:tcBorders>
              <w:top w:val="single" w:sz="2" w:space="0" w:color="000000"/>
              <w:left w:val="single" w:sz="2" w:space="0" w:color="000000"/>
              <w:bottom w:val="single" w:sz="2" w:space="0" w:color="000000"/>
              <w:right w:val="single" w:sz="2" w:space="0" w:color="000000"/>
            </w:tcBorders>
          </w:tcPr>
          <w:p w:rsidR="00590228" w:rsidRPr="003D5807" w:rsidRDefault="003D5807" w:rsidP="004047BD">
            <w:pPr>
              <w:tabs>
                <w:tab w:val="left" w:pos="831"/>
              </w:tabs>
              <w:suppressAutoHyphens w:val="0"/>
              <w:autoSpaceDE w:val="0"/>
              <w:autoSpaceDN w:val="0"/>
              <w:adjustRightInd w:val="0"/>
              <w:jc w:val="both"/>
              <w:rPr>
                <w:rFonts w:ascii="Garamond" w:eastAsiaTheme="minorHAnsi" w:hAnsi="Garamond" w:cs="Garamond"/>
                <w:bCs/>
                <w:color w:val="000000"/>
                <w:lang w:val="uk-UA" w:eastAsia="en-US"/>
              </w:rPr>
            </w:pPr>
            <w:r>
              <w:rPr>
                <w:rFonts w:ascii="Garamond" w:eastAsiaTheme="minorHAnsi" w:hAnsi="Garamond" w:cs="Garamond"/>
                <w:bCs/>
                <w:color w:val="000000"/>
                <w:lang w:val="uk-UA" w:eastAsia="en-US"/>
              </w:rPr>
              <w:t>150</w:t>
            </w:r>
          </w:p>
        </w:tc>
      </w:tr>
      <w:tr w:rsidR="00590228" w:rsidRPr="00C834BE" w:rsidTr="00423390">
        <w:trPr>
          <w:trHeight w:val="290"/>
        </w:trPr>
        <w:tc>
          <w:tcPr>
            <w:tcW w:w="5011" w:type="dxa"/>
            <w:tcBorders>
              <w:top w:val="single" w:sz="2" w:space="0" w:color="000000"/>
              <w:left w:val="single" w:sz="2" w:space="0" w:color="000000"/>
              <w:bottom w:val="single" w:sz="2" w:space="0" w:color="000000"/>
              <w:right w:val="nil"/>
            </w:tcBorders>
          </w:tcPr>
          <w:p w:rsidR="00590228" w:rsidRPr="00C834BE" w:rsidRDefault="00590228" w:rsidP="004047BD">
            <w:pPr>
              <w:suppressAutoHyphens w:val="0"/>
              <w:autoSpaceDE w:val="0"/>
              <w:autoSpaceDN w:val="0"/>
              <w:adjustRightInd w:val="0"/>
              <w:jc w:val="both"/>
              <w:rPr>
                <w:rFonts w:ascii="Garamond" w:eastAsiaTheme="minorHAnsi" w:hAnsi="Garamond" w:cs="Garamond"/>
                <w:b/>
                <w:bCs/>
                <w:color w:val="000000"/>
                <w:lang w:eastAsia="en-US"/>
              </w:rPr>
            </w:pPr>
            <w:r w:rsidRPr="00C834BE">
              <w:rPr>
                <w:rFonts w:ascii="Garamond" w:eastAsiaTheme="minorHAnsi" w:hAnsi="Garamond" w:cs="Garamond"/>
                <w:b/>
                <w:bCs/>
                <w:color w:val="000000"/>
                <w:sz w:val="22"/>
                <w:szCs w:val="22"/>
                <w:lang w:eastAsia="en-US"/>
              </w:rPr>
              <w:t>Всього оборотні активи</w:t>
            </w:r>
          </w:p>
        </w:tc>
        <w:tc>
          <w:tcPr>
            <w:tcW w:w="2107" w:type="dxa"/>
            <w:tcBorders>
              <w:top w:val="single" w:sz="2" w:space="0" w:color="000000"/>
              <w:left w:val="nil"/>
              <w:bottom w:val="single" w:sz="2" w:space="0" w:color="000000"/>
              <w:right w:val="single" w:sz="2" w:space="0" w:color="000000"/>
            </w:tcBorders>
          </w:tcPr>
          <w:p w:rsidR="00590228" w:rsidRPr="00E508C6" w:rsidRDefault="00B82C44" w:rsidP="00B82C44">
            <w:pPr>
              <w:suppressAutoHyphens w:val="0"/>
              <w:autoSpaceDE w:val="0"/>
              <w:autoSpaceDN w:val="0"/>
              <w:adjustRightInd w:val="0"/>
              <w:ind w:right="-130"/>
              <w:jc w:val="center"/>
              <w:rPr>
                <w:rFonts w:ascii="Garamond" w:eastAsiaTheme="minorHAnsi" w:hAnsi="Garamond" w:cs="Garamond"/>
                <w:b/>
                <w:bCs/>
                <w:color w:val="000000"/>
                <w:lang w:val="uk-UA" w:eastAsia="en-US"/>
              </w:rPr>
            </w:pPr>
            <w:r>
              <w:rPr>
                <w:rFonts w:ascii="Garamond" w:eastAsiaTheme="minorHAnsi" w:hAnsi="Garamond" w:cs="Garamond"/>
                <w:b/>
                <w:bCs/>
                <w:color w:val="000000"/>
                <w:lang w:val="uk-UA" w:eastAsia="en-US"/>
              </w:rPr>
              <w:t>1411</w:t>
            </w:r>
          </w:p>
        </w:tc>
        <w:tc>
          <w:tcPr>
            <w:tcW w:w="2127" w:type="dxa"/>
            <w:tcBorders>
              <w:top w:val="single" w:sz="2" w:space="0" w:color="000000"/>
              <w:left w:val="single" w:sz="2" w:space="0" w:color="000000"/>
              <w:bottom w:val="single" w:sz="6" w:space="0" w:color="auto"/>
              <w:right w:val="single" w:sz="2" w:space="0" w:color="000000"/>
            </w:tcBorders>
          </w:tcPr>
          <w:p w:rsidR="00590228" w:rsidRPr="003D5807" w:rsidRDefault="003D5807" w:rsidP="004047BD">
            <w:pPr>
              <w:tabs>
                <w:tab w:val="left" w:pos="831"/>
              </w:tabs>
              <w:suppressAutoHyphens w:val="0"/>
              <w:autoSpaceDE w:val="0"/>
              <w:autoSpaceDN w:val="0"/>
              <w:adjustRightInd w:val="0"/>
              <w:jc w:val="both"/>
              <w:rPr>
                <w:rFonts w:ascii="Garamond" w:eastAsiaTheme="minorHAnsi" w:hAnsi="Garamond" w:cs="Garamond"/>
                <w:b/>
                <w:bCs/>
                <w:color w:val="000000"/>
                <w:lang w:val="uk-UA" w:eastAsia="en-US"/>
              </w:rPr>
            </w:pPr>
            <w:r>
              <w:rPr>
                <w:rFonts w:ascii="Garamond" w:eastAsiaTheme="minorHAnsi" w:hAnsi="Garamond" w:cs="Garamond"/>
                <w:b/>
                <w:bCs/>
                <w:color w:val="000000"/>
                <w:lang w:val="uk-UA" w:eastAsia="en-US"/>
              </w:rPr>
              <w:t>1170</w:t>
            </w:r>
          </w:p>
        </w:tc>
      </w:tr>
      <w:tr w:rsidR="003D5807" w:rsidRPr="00C834BE" w:rsidTr="00423390">
        <w:trPr>
          <w:trHeight w:val="302"/>
        </w:trPr>
        <w:tc>
          <w:tcPr>
            <w:tcW w:w="5011" w:type="dxa"/>
            <w:tcBorders>
              <w:top w:val="single" w:sz="2" w:space="0" w:color="000000"/>
              <w:left w:val="single" w:sz="2" w:space="0" w:color="000000"/>
              <w:bottom w:val="single" w:sz="2" w:space="0" w:color="000000"/>
              <w:right w:val="nil"/>
            </w:tcBorders>
          </w:tcPr>
          <w:p w:rsidR="003D5807" w:rsidRDefault="003D5807" w:rsidP="004047BD">
            <w:pPr>
              <w:suppressAutoHyphens w:val="0"/>
              <w:autoSpaceDE w:val="0"/>
              <w:autoSpaceDN w:val="0"/>
              <w:adjustRightInd w:val="0"/>
              <w:jc w:val="both"/>
              <w:rPr>
                <w:rFonts w:ascii="Garamond" w:eastAsiaTheme="minorHAnsi" w:hAnsi="Garamond" w:cs="Garamond"/>
                <w:b/>
                <w:bCs/>
                <w:color w:val="000000"/>
                <w:lang w:eastAsia="en-US"/>
              </w:rPr>
            </w:pPr>
          </w:p>
          <w:p w:rsidR="003D5807" w:rsidRPr="00C834BE" w:rsidRDefault="003D5807" w:rsidP="004047BD">
            <w:pPr>
              <w:suppressAutoHyphens w:val="0"/>
              <w:autoSpaceDE w:val="0"/>
              <w:autoSpaceDN w:val="0"/>
              <w:adjustRightInd w:val="0"/>
              <w:jc w:val="both"/>
              <w:rPr>
                <w:rFonts w:ascii="Garamond" w:eastAsiaTheme="minorHAnsi" w:hAnsi="Garamond" w:cs="Garamond"/>
                <w:b/>
                <w:bCs/>
                <w:color w:val="000000"/>
                <w:lang w:eastAsia="en-US"/>
              </w:rPr>
            </w:pPr>
            <w:r w:rsidRPr="00C834BE">
              <w:rPr>
                <w:rFonts w:ascii="Garamond" w:eastAsiaTheme="minorHAnsi" w:hAnsi="Garamond" w:cs="Garamond"/>
                <w:b/>
                <w:bCs/>
                <w:color w:val="000000"/>
                <w:sz w:val="22"/>
                <w:szCs w:val="22"/>
                <w:lang w:eastAsia="en-US"/>
              </w:rPr>
              <w:t>Всього активи</w:t>
            </w:r>
          </w:p>
        </w:tc>
        <w:tc>
          <w:tcPr>
            <w:tcW w:w="2107" w:type="dxa"/>
            <w:tcBorders>
              <w:top w:val="single" w:sz="2" w:space="0" w:color="000000"/>
              <w:left w:val="nil"/>
              <w:bottom w:val="single" w:sz="2" w:space="0" w:color="000000"/>
              <w:right w:val="single" w:sz="2" w:space="0" w:color="000000"/>
            </w:tcBorders>
          </w:tcPr>
          <w:p w:rsidR="003D5807" w:rsidRPr="00E508C6" w:rsidRDefault="00823CD0" w:rsidP="00823CD0">
            <w:pPr>
              <w:suppressAutoHyphens w:val="0"/>
              <w:autoSpaceDE w:val="0"/>
              <w:autoSpaceDN w:val="0"/>
              <w:adjustRightInd w:val="0"/>
              <w:ind w:right="-130"/>
              <w:jc w:val="center"/>
              <w:rPr>
                <w:rFonts w:ascii="Garamond" w:eastAsiaTheme="minorHAnsi" w:hAnsi="Garamond" w:cs="Garamond"/>
                <w:b/>
                <w:bCs/>
                <w:color w:val="000000"/>
                <w:lang w:val="uk-UA" w:eastAsia="en-US"/>
              </w:rPr>
            </w:pPr>
            <w:r>
              <w:rPr>
                <w:rFonts w:ascii="Garamond" w:eastAsiaTheme="minorHAnsi" w:hAnsi="Garamond" w:cs="Garamond"/>
                <w:b/>
                <w:bCs/>
                <w:color w:val="000000"/>
                <w:lang w:val="uk-UA" w:eastAsia="en-US"/>
              </w:rPr>
              <w:t>1411</w:t>
            </w:r>
          </w:p>
        </w:tc>
        <w:tc>
          <w:tcPr>
            <w:tcW w:w="2127" w:type="dxa"/>
            <w:tcBorders>
              <w:top w:val="single" w:sz="6" w:space="0" w:color="auto"/>
              <w:left w:val="single" w:sz="2" w:space="0" w:color="000000"/>
              <w:bottom w:val="single" w:sz="12" w:space="0" w:color="auto"/>
              <w:right w:val="single" w:sz="2" w:space="0" w:color="000000"/>
            </w:tcBorders>
          </w:tcPr>
          <w:p w:rsidR="003D5807" w:rsidRPr="003D5807" w:rsidRDefault="003D5807" w:rsidP="004047BD">
            <w:pPr>
              <w:tabs>
                <w:tab w:val="left" w:pos="831"/>
              </w:tabs>
              <w:suppressAutoHyphens w:val="0"/>
              <w:autoSpaceDE w:val="0"/>
              <w:autoSpaceDN w:val="0"/>
              <w:adjustRightInd w:val="0"/>
              <w:jc w:val="both"/>
              <w:rPr>
                <w:rFonts w:ascii="Garamond" w:eastAsiaTheme="minorHAnsi" w:hAnsi="Garamond" w:cs="Garamond"/>
                <w:b/>
                <w:bCs/>
                <w:color w:val="000000"/>
                <w:lang w:val="uk-UA" w:eastAsia="en-US"/>
              </w:rPr>
            </w:pPr>
            <w:r>
              <w:rPr>
                <w:rFonts w:ascii="Garamond" w:eastAsiaTheme="minorHAnsi" w:hAnsi="Garamond" w:cs="Garamond"/>
                <w:b/>
                <w:bCs/>
                <w:color w:val="000000"/>
                <w:lang w:val="uk-UA" w:eastAsia="en-US"/>
              </w:rPr>
              <w:t>1170</w:t>
            </w:r>
          </w:p>
        </w:tc>
      </w:tr>
      <w:tr w:rsidR="00590228" w:rsidRPr="00C834BE" w:rsidTr="00423390">
        <w:trPr>
          <w:trHeight w:val="290"/>
        </w:trPr>
        <w:tc>
          <w:tcPr>
            <w:tcW w:w="5011" w:type="dxa"/>
            <w:tcBorders>
              <w:top w:val="single" w:sz="2" w:space="0" w:color="000000"/>
              <w:left w:val="single" w:sz="2" w:space="0" w:color="000000"/>
              <w:bottom w:val="single" w:sz="2" w:space="0" w:color="000000"/>
              <w:right w:val="single" w:sz="2" w:space="0" w:color="000000"/>
            </w:tcBorders>
          </w:tcPr>
          <w:p w:rsidR="00590228" w:rsidRPr="00C834BE" w:rsidRDefault="00590228" w:rsidP="004047BD">
            <w:pPr>
              <w:suppressAutoHyphens w:val="0"/>
              <w:autoSpaceDE w:val="0"/>
              <w:autoSpaceDN w:val="0"/>
              <w:adjustRightInd w:val="0"/>
              <w:jc w:val="both"/>
              <w:rPr>
                <w:rFonts w:ascii="Garamond" w:eastAsiaTheme="minorHAnsi" w:hAnsi="Garamond" w:cs="Garamond"/>
                <w:b/>
                <w:bCs/>
                <w:color w:val="000000"/>
                <w:lang w:eastAsia="en-US"/>
              </w:rPr>
            </w:pPr>
            <w:r w:rsidRPr="00C834BE">
              <w:rPr>
                <w:rFonts w:ascii="Garamond" w:eastAsiaTheme="minorHAnsi" w:hAnsi="Garamond" w:cs="Garamond"/>
                <w:b/>
                <w:bCs/>
                <w:color w:val="000000"/>
                <w:sz w:val="22"/>
                <w:szCs w:val="22"/>
                <w:lang w:eastAsia="en-US"/>
              </w:rPr>
              <w:t xml:space="preserve"> </w:t>
            </w:r>
          </w:p>
        </w:tc>
        <w:tc>
          <w:tcPr>
            <w:tcW w:w="2107" w:type="dxa"/>
            <w:tcBorders>
              <w:top w:val="single" w:sz="2" w:space="0" w:color="000000"/>
              <w:left w:val="single" w:sz="2" w:space="0" w:color="000000"/>
              <w:bottom w:val="single" w:sz="2" w:space="0" w:color="000000"/>
              <w:right w:val="single" w:sz="2" w:space="0" w:color="000000"/>
            </w:tcBorders>
          </w:tcPr>
          <w:p w:rsidR="00590228" w:rsidRPr="00C834BE" w:rsidRDefault="00590228" w:rsidP="004047BD">
            <w:pPr>
              <w:suppressAutoHyphens w:val="0"/>
              <w:autoSpaceDE w:val="0"/>
              <w:autoSpaceDN w:val="0"/>
              <w:adjustRightInd w:val="0"/>
              <w:ind w:right="-130"/>
              <w:jc w:val="both"/>
              <w:rPr>
                <w:rFonts w:ascii="Garamond" w:eastAsiaTheme="minorHAnsi" w:hAnsi="Garamond" w:cs="Garamond"/>
                <w:b/>
                <w:bCs/>
                <w:color w:val="000000"/>
                <w:lang w:eastAsia="en-US"/>
              </w:rPr>
            </w:pPr>
          </w:p>
        </w:tc>
        <w:tc>
          <w:tcPr>
            <w:tcW w:w="2127" w:type="dxa"/>
            <w:tcBorders>
              <w:top w:val="single" w:sz="12" w:space="0" w:color="auto"/>
              <w:left w:val="single" w:sz="2" w:space="0" w:color="000000"/>
              <w:bottom w:val="single" w:sz="2" w:space="0" w:color="000000"/>
              <w:right w:val="single" w:sz="2" w:space="0" w:color="000000"/>
            </w:tcBorders>
          </w:tcPr>
          <w:p w:rsidR="00590228" w:rsidRPr="00C834BE" w:rsidRDefault="00590228" w:rsidP="004047BD">
            <w:pPr>
              <w:tabs>
                <w:tab w:val="left" w:pos="831"/>
              </w:tabs>
              <w:suppressAutoHyphens w:val="0"/>
              <w:autoSpaceDE w:val="0"/>
              <w:autoSpaceDN w:val="0"/>
              <w:adjustRightInd w:val="0"/>
              <w:jc w:val="both"/>
              <w:rPr>
                <w:rFonts w:ascii="Garamond" w:eastAsiaTheme="minorHAnsi" w:hAnsi="Garamond" w:cs="Garamond"/>
                <w:b/>
                <w:bCs/>
                <w:color w:val="000000"/>
                <w:lang w:eastAsia="en-US"/>
              </w:rPr>
            </w:pPr>
          </w:p>
        </w:tc>
      </w:tr>
      <w:tr w:rsidR="00590228" w:rsidRPr="00C834BE" w:rsidTr="00423390">
        <w:trPr>
          <w:trHeight w:val="290"/>
        </w:trPr>
        <w:tc>
          <w:tcPr>
            <w:tcW w:w="5011" w:type="dxa"/>
            <w:tcBorders>
              <w:top w:val="single" w:sz="2" w:space="0" w:color="000000"/>
              <w:left w:val="single" w:sz="2" w:space="0" w:color="000000"/>
              <w:bottom w:val="single" w:sz="2" w:space="0" w:color="000000"/>
              <w:right w:val="single" w:sz="2" w:space="0" w:color="000000"/>
            </w:tcBorders>
          </w:tcPr>
          <w:p w:rsidR="00590228" w:rsidRPr="00C834BE" w:rsidRDefault="00590228" w:rsidP="004047BD">
            <w:pPr>
              <w:suppressAutoHyphens w:val="0"/>
              <w:autoSpaceDE w:val="0"/>
              <w:autoSpaceDN w:val="0"/>
              <w:adjustRightInd w:val="0"/>
              <w:jc w:val="both"/>
              <w:rPr>
                <w:rFonts w:ascii="Garamond" w:eastAsiaTheme="minorHAnsi" w:hAnsi="Garamond" w:cs="Garamond"/>
                <w:color w:val="000000"/>
                <w:lang w:eastAsia="en-US"/>
              </w:rPr>
            </w:pPr>
            <w:r w:rsidRPr="00C834BE">
              <w:rPr>
                <w:rFonts w:ascii="Garamond" w:eastAsiaTheme="minorHAnsi" w:hAnsi="Garamond" w:cs="Garamond"/>
                <w:color w:val="000000"/>
                <w:sz w:val="22"/>
                <w:szCs w:val="22"/>
                <w:lang w:eastAsia="en-US"/>
              </w:rPr>
              <w:t>Зобов'язання</w:t>
            </w:r>
          </w:p>
        </w:tc>
        <w:tc>
          <w:tcPr>
            <w:tcW w:w="2107" w:type="dxa"/>
            <w:tcBorders>
              <w:top w:val="single" w:sz="2" w:space="0" w:color="000000"/>
              <w:left w:val="single" w:sz="2" w:space="0" w:color="000000"/>
              <w:bottom w:val="single" w:sz="2" w:space="0" w:color="000000"/>
              <w:right w:val="single" w:sz="2" w:space="0" w:color="000000"/>
            </w:tcBorders>
          </w:tcPr>
          <w:p w:rsidR="00590228" w:rsidRPr="00C834BE" w:rsidRDefault="00590228" w:rsidP="004047BD">
            <w:pPr>
              <w:suppressAutoHyphens w:val="0"/>
              <w:autoSpaceDE w:val="0"/>
              <w:autoSpaceDN w:val="0"/>
              <w:adjustRightInd w:val="0"/>
              <w:ind w:right="-130"/>
              <w:jc w:val="both"/>
              <w:rPr>
                <w:rFonts w:ascii="Garamond" w:eastAsiaTheme="minorHAnsi" w:hAnsi="Garamond" w:cs="Garamond"/>
                <w:color w:val="000000"/>
                <w:lang w:eastAsia="en-US"/>
              </w:rPr>
            </w:pPr>
          </w:p>
        </w:tc>
        <w:tc>
          <w:tcPr>
            <w:tcW w:w="2127" w:type="dxa"/>
            <w:tcBorders>
              <w:top w:val="single" w:sz="2" w:space="0" w:color="000000"/>
              <w:left w:val="single" w:sz="2" w:space="0" w:color="000000"/>
              <w:bottom w:val="single" w:sz="2" w:space="0" w:color="000000"/>
              <w:right w:val="single" w:sz="2" w:space="0" w:color="000000"/>
            </w:tcBorders>
          </w:tcPr>
          <w:p w:rsidR="00590228" w:rsidRPr="00C834BE" w:rsidRDefault="00590228" w:rsidP="004047BD">
            <w:pPr>
              <w:tabs>
                <w:tab w:val="left" w:pos="831"/>
              </w:tabs>
              <w:suppressAutoHyphens w:val="0"/>
              <w:autoSpaceDE w:val="0"/>
              <w:autoSpaceDN w:val="0"/>
              <w:adjustRightInd w:val="0"/>
              <w:jc w:val="both"/>
              <w:rPr>
                <w:rFonts w:ascii="Garamond" w:eastAsiaTheme="minorHAnsi" w:hAnsi="Garamond" w:cs="Garamond"/>
                <w:color w:val="000000"/>
                <w:lang w:eastAsia="en-US"/>
              </w:rPr>
            </w:pPr>
          </w:p>
        </w:tc>
      </w:tr>
      <w:tr w:rsidR="00590228" w:rsidRPr="00C834BE" w:rsidTr="00423390">
        <w:trPr>
          <w:trHeight w:val="290"/>
        </w:trPr>
        <w:tc>
          <w:tcPr>
            <w:tcW w:w="5011" w:type="dxa"/>
            <w:tcBorders>
              <w:top w:val="single" w:sz="2" w:space="0" w:color="000000"/>
              <w:left w:val="single" w:sz="2" w:space="0" w:color="000000"/>
              <w:bottom w:val="single" w:sz="2" w:space="0" w:color="000000"/>
              <w:right w:val="single" w:sz="2" w:space="0" w:color="000000"/>
            </w:tcBorders>
          </w:tcPr>
          <w:p w:rsidR="00590228" w:rsidRPr="00C834BE" w:rsidRDefault="00590228" w:rsidP="004047BD">
            <w:pPr>
              <w:suppressAutoHyphens w:val="0"/>
              <w:autoSpaceDE w:val="0"/>
              <w:autoSpaceDN w:val="0"/>
              <w:adjustRightInd w:val="0"/>
              <w:jc w:val="both"/>
              <w:rPr>
                <w:rFonts w:ascii="Garamond" w:eastAsiaTheme="minorHAnsi" w:hAnsi="Garamond" w:cs="Garamond"/>
                <w:color w:val="000000"/>
                <w:lang w:eastAsia="en-US"/>
              </w:rPr>
            </w:pPr>
            <w:r w:rsidRPr="00C834BE">
              <w:rPr>
                <w:rFonts w:ascii="Garamond" w:eastAsiaTheme="minorHAnsi" w:hAnsi="Garamond" w:cs="Garamond"/>
                <w:color w:val="000000"/>
                <w:sz w:val="22"/>
                <w:szCs w:val="22"/>
                <w:lang w:eastAsia="en-US"/>
              </w:rPr>
              <w:t xml:space="preserve">   зобов'язання з інших податків та зборів</w:t>
            </w:r>
          </w:p>
        </w:tc>
        <w:tc>
          <w:tcPr>
            <w:tcW w:w="2107" w:type="dxa"/>
            <w:tcBorders>
              <w:top w:val="single" w:sz="2" w:space="0" w:color="000000"/>
              <w:left w:val="single" w:sz="2" w:space="0" w:color="000000"/>
              <w:bottom w:val="single" w:sz="2" w:space="0" w:color="000000"/>
              <w:right w:val="single" w:sz="2" w:space="0" w:color="000000"/>
            </w:tcBorders>
          </w:tcPr>
          <w:p w:rsidR="00590228" w:rsidRPr="00E508C6" w:rsidRDefault="00590228" w:rsidP="004047BD">
            <w:pPr>
              <w:suppressAutoHyphens w:val="0"/>
              <w:autoSpaceDE w:val="0"/>
              <w:autoSpaceDN w:val="0"/>
              <w:adjustRightInd w:val="0"/>
              <w:ind w:right="-130"/>
              <w:jc w:val="both"/>
              <w:rPr>
                <w:rFonts w:ascii="Garamond" w:eastAsiaTheme="minorHAnsi" w:hAnsi="Garamond" w:cs="Garamond"/>
                <w:color w:val="000000"/>
                <w:lang w:val="uk-UA" w:eastAsia="en-US"/>
              </w:rPr>
            </w:pPr>
          </w:p>
        </w:tc>
        <w:tc>
          <w:tcPr>
            <w:tcW w:w="2127" w:type="dxa"/>
            <w:tcBorders>
              <w:top w:val="single" w:sz="2" w:space="0" w:color="000000"/>
              <w:left w:val="single" w:sz="2" w:space="0" w:color="000000"/>
              <w:bottom w:val="single" w:sz="2" w:space="0" w:color="000000"/>
              <w:right w:val="single" w:sz="2" w:space="0" w:color="000000"/>
            </w:tcBorders>
          </w:tcPr>
          <w:p w:rsidR="00590228" w:rsidRPr="00C834BE" w:rsidRDefault="00590228" w:rsidP="004047BD">
            <w:pPr>
              <w:tabs>
                <w:tab w:val="left" w:pos="831"/>
              </w:tabs>
              <w:suppressAutoHyphens w:val="0"/>
              <w:autoSpaceDE w:val="0"/>
              <w:autoSpaceDN w:val="0"/>
              <w:adjustRightInd w:val="0"/>
              <w:jc w:val="both"/>
              <w:rPr>
                <w:rFonts w:ascii="Garamond" w:eastAsiaTheme="minorHAnsi" w:hAnsi="Garamond" w:cs="Garamond"/>
                <w:color w:val="000000"/>
                <w:lang w:eastAsia="en-US"/>
              </w:rPr>
            </w:pPr>
          </w:p>
        </w:tc>
      </w:tr>
      <w:tr w:rsidR="00590228" w:rsidRPr="00C834BE" w:rsidTr="00423390">
        <w:trPr>
          <w:trHeight w:val="290"/>
        </w:trPr>
        <w:tc>
          <w:tcPr>
            <w:tcW w:w="5011" w:type="dxa"/>
            <w:tcBorders>
              <w:top w:val="single" w:sz="2" w:space="0" w:color="000000"/>
              <w:left w:val="single" w:sz="2" w:space="0" w:color="000000"/>
              <w:bottom w:val="single" w:sz="2" w:space="0" w:color="000000"/>
              <w:right w:val="nil"/>
            </w:tcBorders>
          </w:tcPr>
          <w:p w:rsidR="00590228" w:rsidRPr="00C834BE" w:rsidRDefault="00590228" w:rsidP="004047BD">
            <w:pPr>
              <w:suppressAutoHyphens w:val="0"/>
              <w:autoSpaceDE w:val="0"/>
              <w:autoSpaceDN w:val="0"/>
              <w:adjustRightInd w:val="0"/>
              <w:jc w:val="both"/>
              <w:rPr>
                <w:rFonts w:ascii="Garamond" w:eastAsiaTheme="minorHAnsi" w:hAnsi="Garamond" w:cs="Garamond"/>
                <w:b/>
                <w:bCs/>
                <w:color w:val="000000"/>
                <w:lang w:eastAsia="en-US"/>
              </w:rPr>
            </w:pPr>
            <w:r w:rsidRPr="00C834BE">
              <w:rPr>
                <w:rFonts w:ascii="Garamond" w:eastAsiaTheme="minorHAnsi" w:hAnsi="Garamond" w:cs="Garamond"/>
                <w:b/>
                <w:bCs/>
                <w:color w:val="000000"/>
                <w:sz w:val="22"/>
                <w:szCs w:val="22"/>
                <w:lang w:eastAsia="en-US"/>
              </w:rPr>
              <w:t>Всього зобов'язання</w:t>
            </w:r>
          </w:p>
        </w:tc>
        <w:tc>
          <w:tcPr>
            <w:tcW w:w="2107" w:type="dxa"/>
            <w:tcBorders>
              <w:top w:val="single" w:sz="2" w:space="0" w:color="000000"/>
              <w:left w:val="nil"/>
              <w:bottom w:val="single" w:sz="2" w:space="0" w:color="000000"/>
              <w:right w:val="single" w:sz="2" w:space="0" w:color="000000"/>
            </w:tcBorders>
          </w:tcPr>
          <w:p w:rsidR="00590228" w:rsidRPr="00E508C6" w:rsidRDefault="00884280" w:rsidP="00884280">
            <w:pPr>
              <w:suppressAutoHyphens w:val="0"/>
              <w:autoSpaceDE w:val="0"/>
              <w:autoSpaceDN w:val="0"/>
              <w:adjustRightInd w:val="0"/>
              <w:ind w:right="-130"/>
              <w:jc w:val="center"/>
              <w:rPr>
                <w:rFonts w:ascii="Garamond" w:eastAsiaTheme="minorHAnsi" w:hAnsi="Garamond" w:cs="Garamond"/>
                <w:b/>
                <w:bCs/>
                <w:color w:val="000000"/>
                <w:lang w:val="uk-UA" w:eastAsia="en-US"/>
              </w:rPr>
            </w:pPr>
            <w:r>
              <w:rPr>
                <w:rFonts w:ascii="Garamond" w:eastAsiaTheme="minorHAnsi" w:hAnsi="Garamond" w:cs="Garamond"/>
                <w:b/>
                <w:bCs/>
                <w:color w:val="000000"/>
                <w:lang w:val="uk-UA" w:eastAsia="en-US"/>
              </w:rPr>
              <w:t>80</w:t>
            </w:r>
          </w:p>
        </w:tc>
        <w:tc>
          <w:tcPr>
            <w:tcW w:w="2127" w:type="dxa"/>
            <w:tcBorders>
              <w:top w:val="single" w:sz="2" w:space="0" w:color="000000"/>
              <w:left w:val="single" w:sz="2" w:space="0" w:color="000000"/>
              <w:bottom w:val="single" w:sz="6" w:space="0" w:color="auto"/>
              <w:right w:val="single" w:sz="2" w:space="0" w:color="000000"/>
            </w:tcBorders>
          </w:tcPr>
          <w:p w:rsidR="00590228" w:rsidRPr="003D5807" w:rsidRDefault="003D5807" w:rsidP="004047BD">
            <w:pPr>
              <w:tabs>
                <w:tab w:val="left" w:pos="831"/>
              </w:tabs>
              <w:suppressAutoHyphens w:val="0"/>
              <w:autoSpaceDE w:val="0"/>
              <w:autoSpaceDN w:val="0"/>
              <w:adjustRightInd w:val="0"/>
              <w:jc w:val="both"/>
              <w:rPr>
                <w:rFonts w:ascii="Garamond" w:eastAsiaTheme="minorHAnsi" w:hAnsi="Garamond" w:cs="Garamond"/>
                <w:b/>
                <w:bCs/>
                <w:color w:val="000000"/>
                <w:lang w:val="uk-UA" w:eastAsia="en-US"/>
              </w:rPr>
            </w:pPr>
            <w:r>
              <w:rPr>
                <w:rFonts w:ascii="Garamond" w:eastAsiaTheme="minorHAnsi" w:hAnsi="Garamond" w:cs="Garamond"/>
                <w:b/>
                <w:bCs/>
                <w:color w:val="000000"/>
                <w:lang w:val="uk-UA" w:eastAsia="en-US"/>
              </w:rPr>
              <w:t>83</w:t>
            </w:r>
          </w:p>
        </w:tc>
      </w:tr>
      <w:tr w:rsidR="00590228" w:rsidRPr="00C834BE" w:rsidTr="00423390">
        <w:trPr>
          <w:trHeight w:val="290"/>
        </w:trPr>
        <w:tc>
          <w:tcPr>
            <w:tcW w:w="5011" w:type="dxa"/>
            <w:tcBorders>
              <w:top w:val="single" w:sz="2" w:space="0" w:color="000000"/>
              <w:left w:val="single" w:sz="2" w:space="0" w:color="000000"/>
              <w:bottom w:val="single" w:sz="2" w:space="0" w:color="000000"/>
              <w:right w:val="single" w:sz="2" w:space="0" w:color="000000"/>
            </w:tcBorders>
          </w:tcPr>
          <w:p w:rsidR="00590228" w:rsidRPr="00C834BE" w:rsidRDefault="00590228" w:rsidP="004047BD">
            <w:pPr>
              <w:suppressAutoHyphens w:val="0"/>
              <w:autoSpaceDE w:val="0"/>
              <w:autoSpaceDN w:val="0"/>
              <w:adjustRightInd w:val="0"/>
              <w:jc w:val="both"/>
              <w:rPr>
                <w:rFonts w:ascii="Garamond" w:eastAsiaTheme="minorHAnsi" w:hAnsi="Garamond" w:cs="Garamond"/>
                <w:color w:val="000000"/>
                <w:lang w:eastAsia="en-US"/>
              </w:rPr>
            </w:pPr>
            <w:r w:rsidRPr="00C834BE">
              <w:rPr>
                <w:rFonts w:ascii="Garamond" w:eastAsiaTheme="minorHAnsi" w:hAnsi="Garamond" w:cs="Garamond"/>
                <w:color w:val="000000"/>
                <w:sz w:val="22"/>
                <w:szCs w:val="22"/>
                <w:lang w:eastAsia="en-US"/>
              </w:rPr>
              <w:t>Капітал</w:t>
            </w:r>
          </w:p>
        </w:tc>
        <w:tc>
          <w:tcPr>
            <w:tcW w:w="2107" w:type="dxa"/>
            <w:tcBorders>
              <w:top w:val="single" w:sz="2" w:space="0" w:color="000000"/>
              <w:left w:val="single" w:sz="2" w:space="0" w:color="000000"/>
              <w:bottom w:val="single" w:sz="2" w:space="0" w:color="000000"/>
              <w:right w:val="single" w:sz="2" w:space="0" w:color="000000"/>
            </w:tcBorders>
          </w:tcPr>
          <w:p w:rsidR="00590228" w:rsidRPr="00C834BE" w:rsidRDefault="00590228" w:rsidP="00884280">
            <w:pPr>
              <w:suppressAutoHyphens w:val="0"/>
              <w:autoSpaceDE w:val="0"/>
              <w:autoSpaceDN w:val="0"/>
              <w:adjustRightInd w:val="0"/>
              <w:ind w:right="-130"/>
              <w:jc w:val="center"/>
              <w:rPr>
                <w:rFonts w:ascii="Garamond" w:eastAsiaTheme="minorHAnsi" w:hAnsi="Garamond" w:cs="Garamond"/>
                <w:color w:val="000000"/>
                <w:lang w:eastAsia="en-US"/>
              </w:rPr>
            </w:pPr>
          </w:p>
        </w:tc>
        <w:tc>
          <w:tcPr>
            <w:tcW w:w="2127" w:type="dxa"/>
            <w:tcBorders>
              <w:top w:val="single" w:sz="6" w:space="0" w:color="auto"/>
              <w:left w:val="single" w:sz="2" w:space="0" w:color="000000"/>
              <w:bottom w:val="single" w:sz="2" w:space="0" w:color="000000"/>
              <w:right w:val="single" w:sz="2" w:space="0" w:color="000000"/>
            </w:tcBorders>
          </w:tcPr>
          <w:p w:rsidR="00590228" w:rsidRPr="00C834BE" w:rsidRDefault="00590228" w:rsidP="004047BD">
            <w:pPr>
              <w:tabs>
                <w:tab w:val="left" w:pos="831"/>
              </w:tabs>
              <w:suppressAutoHyphens w:val="0"/>
              <w:autoSpaceDE w:val="0"/>
              <w:autoSpaceDN w:val="0"/>
              <w:adjustRightInd w:val="0"/>
              <w:jc w:val="both"/>
              <w:rPr>
                <w:rFonts w:ascii="Garamond" w:eastAsiaTheme="minorHAnsi" w:hAnsi="Garamond" w:cs="Garamond"/>
                <w:color w:val="000000"/>
                <w:lang w:eastAsia="en-US"/>
              </w:rPr>
            </w:pPr>
          </w:p>
        </w:tc>
      </w:tr>
      <w:tr w:rsidR="00590228" w:rsidRPr="00C834BE" w:rsidTr="00423390">
        <w:trPr>
          <w:trHeight w:val="290"/>
        </w:trPr>
        <w:tc>
          <w:tcPr>
            <w:tcW w:w="5011" w:type="dxa"/>
            <w:tcBorders>
              <w:top w:val="single" w:sz="2" w:space="0" w:color="000000"/>
              <w:left w:val="single" w:sz="2" w:space="0" w:color="000000"/>
              <w:bottom w:val="single" w:sz="2" w:space="0" w:color="000000"/>
              <w:right w:val="single" w:sz="2" w:space="0" w:color="000000"/>
            </w:tcBorders>
          </w:tcPr>
          <w:p w:rsidR="00590228" w:rsidRPr="00C834BE" w:rsidRDefault="00590228" w:rsidP="004047BD">
            <w:pPr>
              <w:suppressAutoHyphens w:val="0"/>
              <w:autoSpaceDE w:val="0"/>
              <w:autoSpaceDN w:val="0"/>
              <w:adjustRightInd w:val="0"/>
              <w:jc w:val="both"/>
              <w:rPr>
                <w:rFonts w:ascii="Garamond" w:eastAsiaTheme="minorHAnsi" w:hAnsi="Garamond" w:cs="Garamond"/>
                <w:color w:val="000000"/>
                <w:lang w:eastAsia="en-US"/>
              </w:rPr>
            </w:pPr>
            <w:r w:rsidRPr="00C834BE">
              <w:rPr>
                <w:rFonts w:ascii="Garamond" w:eastAsiaTheme="minorHAnsi" w:hAnsi="Garamond" w:cs="Garamond"/>
                <w:color w:val="000000"/>
                <w:sz w:val="22"/>
                <w:szCs w:val="22"/>
                <w:lang w:eastAsia="en-US"/>
              </w:rPr>
              <w:t xml:space="preserve">   статутний капітал</w:t>
            </w:r>
          </w:p>
        </w:tc>
        <w:tc>
          <w:tcPr>
            <w:tcW w:w="2107" w:type="dxa"/>
            <w:tcBorders>
              <w:top w:val="single" w:sz="2" w:space="0" w:color="000000"/>
              <w:left w:val="single" w:sz="2" w:space="0" w:color="000000"/>
              <w:bottom w:val="single" w:sz="2" w:space="0" w:color="000000"/>
              <w:right w:val="single" w:sz="2" w:space="0" w:color="000000"/>
            </w:tcBorders>
          </w:tcPr>
          <w:p w:rsidR="00590228" w:rsidRPr="00E508C6" w:rsidRDefault="00884280" w:rsidP="00884280">
            <w:pPr>
              <w:suppressAutoHyphens w:val="0"/>
              <w:autoSpaceDE w:val="0"/>
              <w:autoSpaceDN w:val="0"/>
              <w:adjustRightInd w:val="0"/>
              <w:ind w:right="-130"/>
              <w:jc w:val="center"/>
              <w:rPr>
                <w:rFonts w:ascii="Garamond" w:eastAsiaTheme="minorHAnsi" w:hAnsi="Garamond" w:cs="Garamond"/>
                <w:color w:val="000000"/>
                <w:lang w:val="uk-UA" w:eastAsia="en-US"/>
              </w:rPr>
            </w:pPr>
            <w:r>
              <w:rPr>
                <w:rFonts w:ascii="Garamond" w:eastAsiaTheme="minorHAnsi" w:hAnsi="Garamond" w:cs="Garamond"/>
                <w:color w:val="000000"/>
                <w:lang w:val="uk-UA" w:eastAsia="en-US"/>
              </w:rPr>
              <w:t>200</w:t>
            </w:r>
          </w:p>
        </w:tc>
        <w:tc>
          <w:tcPr>
            <w:tcW w:w="2127" w:type="dxa"/>
            <w:tcBorders>
              <w:top w:val="single" w:sz="2" w:space="0" w:color="000000"/>
              <w:left w:val="single" w:sz="2" w:space="0" w:color="000000"/>
              <w:bottom w:val="single" w:sz="2" w:space="0" w:color="000000"/>
              <w:right w:val="single" w:sz="2" w:space="0" w:color="000000"/>
            </w:tcBorders>
          </w:tcPr>
          <w:p w:rsidR="00590228" w:rsidRPr="003D5807" w:rsidRDefault="003D5807" w:rsidP="004047BD">
            <w:pPr>
              <w:tabs>
                <w:tab w:val="left" w:pos="831"/>
              </w:tabs>
              <w:suppressAutoHyphens w:val="0"/>
              <w:autoSpaceDE w:val="0"/>
              <w:autoSpaceDN w:val="0"/>
              <w:adjustRightInd w:val="0"/>
              <w:jc w:val="both"/>
              <w:rPr>
                <w:rFonts w:ascii="Garamond" w:eastAsiaTheme="minorHAnsi" w:hAnsi="Garamond" w:cs="Garamond"/>
                <w:color w:val="000000"/>
                <w:lang w:val="uk-UA" w:eastAsia="en-US"/>
              </w:rPr>
            </w:pPr>
            <w:r>
              <w:rPr>
                <w:rFonts w:ascii="Garamond" w:eastAsiaTheme="minorHAnsi" w:hAnsi="Garamond" w:cs="Garamond"/>
                <w:color w:val="000000"/>
                <w:lang w:val="uk-UA" w:eastAsia="en-US"/>
              </w:rPr>
              <w:t>200</w:t>
            </w:r>
          </w:p>
        </w:tc>
      </w:tr>
      <w:tr w:rsidR="00590228" w:rsidRPr="00C834BE" w:rsidTr="00423390">
        <w:trPr>
          <w:trHeight w:val="290"/>
        </w:trPr>
        <w:tc>
          <w:tcPr>
            <w:tcW w:w="5011" w:type="dxa"/>
            <w:tcBorders>
              <w:top w:val="single" w:sz="2" w:space="0" w:color="000000"/>
              <w:left w:val="single" w:sz="2" w:space="0" w:color="000000"/>
              <w:bottom w:val="single" w:sz="2" w:space="0" w:color="000000"/>
              <w:right w:val="single" w:sz="2" w:space="0" w:color="000000"/>
            </w:tcBorders>
          </w:tcPr>
          <w:p w:rsidR="00590228" w:rsidRPr="00C834BE" w:rsidRDefault="00590228" w:rsidP="004047BD">
            <w:pPr>
              <w:suppressAutoHyphens w:val="0"/>
              <w:autoSpaceDE w:val="0"/>
              <w:autoSpaceDN w:val="0"/>
              <w:adjustRightInd w:val="0"/>
              <w:jc w:val="both"/>
              <w:rPr>
                <w:rFonts w:ascii="Garamond" w:eastAsiaTheme="minorHAnsi" w:hAnsi="Garamond" w:cs="Garamond"/>
                <w:color w:val="000000"/>
                <w:lang w:eastAsia="en-US"/>
              </w:rPr>
            </w:pPr>
            <w:r w:rsidRPr="00C834BE">
              <w:rPr>
                <w:rFonts w:ascii="Garamond" w:eastAsiaTheme="minorHAnsi" w:hAnsi="Garamond" w:cs="Garamond"/>
                <w:color w:val="000000"/>
                <w:sz w:val="22"/>
                <w:szCs w:val="22"/>
                <w:lang w:eastAsia="en-US"/>
              </w:rPr>
              <w:t xml:space="preserve">   резервний капітал</w:t>
            </w:r>
          </w:p>
        </w:tc>
        <w:tc>
          <w:tcPr>
            <w:tcW w:w="2107" w:type="dxa"/>
            <w:tcBorders>
              <w:top w:val="single" w:sz="2" w:space="0" w:color="000000"/>
              <w:left w:val="single" w:sz="2" w:space="0" w:color="000000"/>
              <w:bottom w:val="single" w:sz="2" w:space="0" w:color="000000"/>
              <w:right w:val="single" w:sz="2" w:space="0" w:color="000000"/>
            </w:tcBorders>
          </w:tcPr>
          <w:p w:rsidR="00590228" w:rsidRPr="00E508C6" w:rsidRDefault="00884280" w:rsidP="00884280">
            <w:pPr>
              <w:suppressAutoHyphens w:val="0"/>
              <w:autoSpaceDE w:val="0"/>
              <w:autoSpaceDN w:val="0"/>
              <w:adjustRightInd w:val="0"/>
              <w:ind w:right="-130"/>
              <w:jc w:val="center"/>
              <w:rPr>
                <w:rFonts w:ascii="Garamond" w:eastAsiaTheme="minorHAnsi" w:hAnsi="Garamond" w:cs="Garamond"/>
                <w:color w:val="000000"/>
                <w:lang w:val="uk-UA" w:eastAsia="en-US"/>
              </w:rPr>
            </w:pPr>
            <w:r>
              <w:rPr>
                <w:rFonts w:ascii="Garamond" w:eastAsiaTheme="minorHAnsi" w:hAnsi="Garamond" w:cs="Garamond"/>
                <w:color w:val="000000"/>
                <w:lang w:val="uk-UA" w:eastAsia="en-US"/>
              </w:rPr>
              <w:t>83</w:t>
            </w:r>
          </w:p>
        </w:tc>
        <w:tc>
          <w:tcPr>
            <w:tcW w:w="2127" w:type="dxa"/>
            <w:tcBorders>
              <w:top w:val="single" w:sz="2" w:space="0" w:color="000000"/>
              <w:left w:val="single" w:sz="2" w:space="0" w:color="000000"/>
              <w:bottom w:val="single" w:sz="2" w:space="0" w:color="000000"/>
              <w:right w:val="single" w:sz="2" w:space="0" w:color="000000"/>
            </w:tcBorders>
          </w:tcPr>
          <w:p w:rsidR="00590228" w:rsidRPr="003D5807" w:rsidRDefault="003D5807" w:rsidP="004047BD">
            <w:pPr>
              <w:tabs>
                <w:tab w:val="left" w:pos="831"/>
              </w:tabs>
              <w:suppressAutoHyphens w:val="0"/>
              <w:autoSpaceDE w:val="0"/>
              <w:autoSpaceDN w:val="0"/>
              <w:adjustRightInd w:val="0"/>
              <w:jc w:val="both"/>
              <w:rPr>
                <w:rFonts w:ascii="Garamond" w:eastAsiaTheme="minorHAnsi" w:hAnsi="Garamond" w:cs="Garamond"/>
                <w:color w:val="000000"/>
                <w:lang w:val="uk-UA" w:eastAsia="en-US"/>
              </w:rPr>
            </w:pPr>
            <w:r>
              <w:rPr>
                <w:rFonts w:ascii="Garamond" w:eastAsiaTheme="minorHAnsi" w:hAnsi="Garamond" w:cs="Garamond"/>
                <w:color w:val="000000"/>
                <w:lang w:val="uk-UA" w:eastAsia="en-US"/>
              </w:rPr>
              <w:t>71</w:t>
            </w:r>
          </w:p>
        </w:tc>
      </w:tr>
      <w:tr w:rsidR="00590228" w:rsidRPr="00C834BE" w:rsidTr="00423390">
        <w:trPr>
          <w:trHeight w:val="290"/>
        </w:trPr>
        <w:tc>
          <w:tcPr>
            <w:tcW w:w="5011" w:type="dxa"/>
            <w:tcBorders>
              <w:top w:val="single" w:sz="2" w:space="0" w:color="000000"/>
              <w:left w:val="single" w:sz="2" w:space="0" w:color="000000"/>
              <w:bottom w:val="single" w:sz="2" w:space="0" w:color="000000"/>
              <w:right w:val="single" w:sz="2" w:space="0" w:color="000000"/>
            </w:tcBorders>
          </w:tcPr>
          <w:p w:rsidR="00590228" w:rsidRPr="00C834BE" w:rsidRDefault="00590228" w:rsidP="004047BD">
            <w:pPr>
              <w:suppressAutoHyphens w:val="0"/>
              <w:autoSpaceDE w:val="0"/>
              <w:autoSpaceDN w:val="0"/>
              <w:adjustRightInd w:val="0"/>
              <w:jc w:val="both"/>
              <w:rPr>
                <w:rFonts w:ascii="Garamond" w:eastAsiaTheme="minorHAnsi" w:hAnsi="Garamond" w:cs="Garamond"/>
                <w:color w:val="000000"/>
                <w:lang w:eastAsia="en-US"/>
              </w:rPr>
            </w:pPr>
            <w:r w:rsidRPr="00C834BE">
              <w:rPr>
                <w:rFonts w:ascii="Garamond" w:eastAsiaTheme="minorHAnsi" w:hAnsi="Garamond" w:cs="Garamond"/>
                <w:color w:val="000000"/>
                <w:sz w:val="22"/>
                <w:szCs w:val="22"/>
                <w:lang w:eastAsia="en-US"/>
              </w:rPr>
              <w:t xml:space="preserve">   нерозподілений прибуток (збиток)</w:t>
            </w:r>
          </w:p>
        </w:tc>
        <w:tc>
          <w:tcPr>
            <w:tcW w:w="2107" w:type="dxa"/>
            <w:tcBorders>
              <w:top w:val="single" w:sz="2" w:space="0" w:color="000000"/>
              <w:left w:val="single" w:sz="2" w:space="0" w:color="000000"/>
              <w:bottom w:val="single" w:sz="2" w:space="0" w:color="000000"/>
              <w:right w:val="single" w:sz="2" w:space="0" w:color="000000"/>
            </w:tcBorders>
          </w:tcPr>
          <w:p w:rsidR="00590228" w:rsidRPr="00E508C6" w:rsidRDefault="00884280" w:rsidP="00884280">
            <w:pPr>
              <w:suppressAutoHyphens w:val="0"/>
              <w:autoSpaceDE w:val="0"/>
              <w:autoSpaceDN w:val="0"/>
              <w:adjustRightInd w:val="0"/>
              <w:ind w:right="-130"/>
              <w:jc w:val="center"/>
              <w:rPr>
                <w:rFonts w:ascii="Garamond" w:eastAsiaTheme="minorHAnsi" w:hAnsi="Garamond" w:cs="Garamond"/>
                <w:color w:val="000000"/>
                <w:lang w:val="uk-UA" w:eastAsia="en-US"/>
              </w:rPr>
            </w:pPr>
            <w:r>
              <w:rPr>
                <w:rFonts w:ascii="Garamond" w:eastAsiaTheme="minorHAnsi" w:hAnsi="Garamond" w:cs="Garamond"/>
                <w:color w:val="000000"/>
                <w:lang w:val="uk-UA" w:eastAsia="en-US"/>
              </w:rPr>
              <w:t>1046</w:t>
            </w:r>
          </w:p>
        </w:tc>
        <w:tc>
          <w:tcPr>
            <w:tcW w:w="2127" w:type="dxa"/>
            <w:tcBorders>
              <w:top w:val="single" w:sz="2" w:space="0" w:color="000000"/>
              <w:left w:val="single" w:sz="2" w:space="0" w:color="000000"/>
              <w:bottom w:val="single" w:sz="2" w:space="0" w:color="000000"/>
              <w:right w:val="single" w:sz="2" w:space="0" w:color="000000"/>
            </w:tcBorders>
          </w:tcPr>
          <w:p w:rsidR="00590228" w:rsidRPr="003D5807" w:rsidRDefault="003D5807" w:rsidP="004047BD">
            <w:pPr>
              <w:tabs>
                <w:tab w:val="left" w:pos="831"/>
              </w:tabs>
              <w:suppressAutoHyphens w:val="0"/>
              <w:autoSpaceDE w:val="0"/>
              <w:autoSpaceDN w:val="0"/>
              <w:adjustRightInd w:val="0"/>
              <w:jc w:val="both"/>
              <w:rPr>
                <w:rFonts w:ascii="Garamond" w:eastAsiaTheme="minorHAnsi" w:hAnsi="Garamond" w:cs="Garamond"/>
                <w:color w:val="000000"/>
                <w:lang w:val="uk-UA" w:eastAsia="en-US"/>
              </w:rPr>
            </w:pPr>
            <w:r>
              <w:rPr>
                <w:rFonts w:ascii="Garamond" w:eastAsiaTheme="minorHAnsi" w:hAnsi="Garamond" w:cs="Garamond"/>
                <w:color w:val="000000"/>
                <w:lang w:val="uk-UA" w:eastAsia="en-US"/>
              </w:rPr>
              <w:t>816</w:t>
            </w:r>
          </w:p>
        </w:tc>
      </w:tr>
      <w:tr w:rsidR="00590228" w:rsidRPr="00C834BE" w:rsidTr="00423390">
        <w:trPr>
          <w:trHeight w:val="290"/>
        </w:trPr>
        <w:tc>
          <w:tcPr>
            <w:tcW w:w="5011" w:type="dxa"/>
            <w:tcBorders>
              <w:top w:val="single" w:sz="2" w:space="0" w:color="000000"/>
              <w:left w:val="single" w:sz="2" w:space="0" w:color="000000"/>
              <w:bottom w:val="single" w:sz="2" w:space="0" w:color="000000"/>
              <w:right w:val="nil"/>
            </w:tcBorders>
          </w:tcPr>
          <w:p w:rsidR="00590228" w:rsidRPr="00C834BE" w:rsidRDefault="00590228" w:rsidP="004047BD">
            <w:pPr>
              <w:suppressAutoHyphens w:val="0"/>
              <w:autoSpaceDE w:val="0"/>
              <w:autoSpaceDN w:val="0"/>
              <w:adjustRightInd w:val="0"/>
              <w:jc w:val="both"/>
              <w:rPr>
                <w:rFonts w:ascii="Garamond" w:eastAsiaTheme="minorHAnsi" w:hAnsi="Garamond" w:cs="Garamond"/>
                <w:b/>
                <w:bCs/>
                <w:color w:val="000000"/>
                <w:lang w:eastAsia="en-US"/>
              </w:rPr>
            </w:pPr>
            <w:r w:rsidRPr="00C834BE">
              <w:rPr>
                <w:rFonts w:ascii="Garamond" w:eastAsiaTheme="minorHAnsi" w:hAnsi="Garamond" w:cs="Garamond"/>
                <w:b/>
                <w:bCs/>
                <w:color w:val="000000"/>
                <w:sz w:val="22"/>
                <w:szCs w:val="22"/>
                <w:lang w:eastAsia="en-US"/>
              </w:rPr>
              <w:t>Всього капітал</w:t>
            </w:r>
          </w:p>
        </w:tc>
        <w:tc>
          <w:tcPr>
            <w:tcW w:w="2107" w:type="dxa"/>
            <w:tcBorders>
              <w:top w:val="single" w:sz="2" w:space="0" w:color="000000"/>
              <w:left w:val="nil"/>
              <w:bottom w:val="single" w:sz="2" w:space="0" w:color="000000"/>
              <w:right w:val="single" w:sz="2" w:space="0" w:color="000000"/>
            </w:tcBorders>
          </w:tcPr>
          <w:p w:rsidR="00590228" w:rsidRPr="00E508C6" w:rsidRDefault="00884280" w:rsidP="00884280">
            <w:pPr>
              <w:suppressAutoHyphens w:val="0"/>
              <w:autoSpaceDE w:val="0"/>
              <w:autoSpaceDN w:val="0"/>
              <w:adjustRightInd w:val="0"/>
              <w:ind w:right="-130"/>
              <w:jc w:val="center"/>
              <w:rPr>
                <w:rFonts w:ascii="Garamond" w:eastAsiaTheme="minorHAnsi" w:hAnsi="Garamond" w:cs="Garamond"/>
                <w:b/>
                <w:bCs/>
                <w:color w:val="000000"/>
                <w:lang w:val="uk-UA" w:eastAsia="en-US"/>
              </w:rPr>
            </w:pPr>
            <w:r>
              <w:rPr>
                <w:rFonts w:ascii="Garamond" w:eastAsiaTheme="minorHAnsi" w:hAnsi="Garamond" w:cs="Garamond"/>
                <w:b/>
                <w:bCs/>
                <w:color w:val="000000"/>
                <w:lang w:val="uk-UA" w:eastAsia="en-US"/>
              </w:rPr>
              <w:t>1331</w:t>
            </w:r>
          </w:p>
        </w:tc>
        <w:tc>
          <w:tcPr>
            <w:tcW w:w="2127" w:type="dxa"/>
            <w:tcBorders>
              <w:top w:val="single" w:sz="2" w:space="0" w:color="000000"/>
              <w:left w:val="single" w:sz="2" w:space="0" w:color="000000"/>
              <w:bottom w:val="single" w:sz="6" w:space="0" w:color="auto"/>
              <w:right w:val="single" w:sz="2" w:space="0" w:color="000000"/>
            </w:tcBorders>
          </w:tcPr>
          <w:p w:rsidR="00590228" w:rsidRPr="00E508C6" w:rsidRDefault="003D5807" w:rsidP="004047BD">
            <w:pPr>
              <w:tabs>
                <w:tab w:val="left" w:pos="831"/>
              </w:tabs>
              <w:suppressAutoHyphens w:val="0"/>
              <w:autoSpaceDE w:val="0"/>
              <w:autoSpaceDN w:val="0"/>
              <w:adjustRightInd w:val="0"/>
              <w:jc w:val="both"/>
              <w:rPr>
                <w:rFonts w:ascii="Garamond" w:eastAsiaTheme="minorHAnsi" w:hAnsi="Garamond" w:cs="Garamond"/>
                <w:b/>
                <w:bCs/>
                <w:color w:val="000000"/>
                <w:lang w:val="uk-UA" w:eastAsia="en-US"/>
              </w:rPr>
            </w:pPr>
            <w:r>
              <w:rPr>
                <w:rFonts w:ascii="Garamond" w:eastAsiaTheme="minorHAnsi" w:hAnsi="Garamond" w:cs="Garamond"/>
                <w:b/>
                <w:bCs/>
                <w:color w:val="000000"/>
                <w:lang w:val="uk-UA" w:eastAsia="en-US"/>
              </w:rPr>
              <w:t>1087</w:t>
            </w:r>
          </w:p>
        </w:tc>
      </w:tr>
      <w:tr w:rsidR="00590228" w:rsidRPr="00C834BE" w:rsidTr="00423390">
        <w:trPr>
          <w:trHeight w:val="302"/>
        </w:trPr>
        <w:tc>
          <w:tcPr>
            <w:tcW w:w="5011" w:type="dxa"/>
            <w:tcBorders>
              <w:top w:val="single" w:sz="2" w:space="0" w:color="000000"/>
              <w:left w:val="single" w:sz="2" w:space="0" w:color="000000"/>
              <w:bottom w:val="single" w:sz="2" w:space="0" w:color="000000"/>
              <w:right w:val="nil"/>
            </w:tcBorders>
          </w:tcPr>
          <w:p w:rsidR="00590228" w:rsidRPr="00C834BE" w:rsidRDefault="00590228" w:rsidP="004047BD">
            <w:pPr>
              <w:suppressAutoHyphens w:val="0"/>
              <w:autoSpaceDE w:val="0"/>
              <w:autoSpaceDN w:val="0"/>
              <w:adjustRightInd w:val="0"/>
              <w:jc w:val="both"/>
              <w:rPr>
                <w:rFonts w:ascii="Garamond" w:eastAsiaTheme="minorHAnsi" w:hAnsi="Garamond" w:cs="Garamond"/>
                <w:b/>
                <w:bCs/>
                <w:color w:val="000000"/>
                <w:lang w:eastAsia="en-US"/>
              </w:rPr>
            </w:pPr>
            <w:r w:rsidRPr="00C834BE">
              <w:rPr>
                <w:rFonts w:ascii="Garamond" w:eastAsiaTheme="minorHAnsi" w:hAnsi="Garamond" w:cs="Garamond"/>
                <w:b/>
                <w:bCs/>
                <w:color w:val="000000"/>
                <w:sz w:val="22"/>
                <w:szCs w:val="22"/>
                <w:lang w:eastAsia="en-US"/>
              </w:rPr>
              <w:t>Всього капітал та зобов'язання</w:t>
            </w:r>
          </w:p>
        </w:tc>
        <w:tc>
          <w:tcPr>
            <w:tcW w:w="2107" w:type="dxa"/>
            <w:tcBorders>
              <w:top w:val="single" w:sz="2" w:space="0" w:color="000000"/>
              <w:left w:val="nil"/>
              <w:bottom w:val="single" w:sz="2" w:space="0" w:color="000000"/>
              <w:right w:val="single" w:sz="2" w:space="0" w:color="000000"/>
            </w:tcBorders>
          </w:tcPr>
          <w:p w:rsidR="00590228" w:rsidRPr="00E508C6" w:rsidRDefault="00884280" w:rsidP="00884280">
            <w:pPr>
              <w:suppressAutoHyphens w:val="0"/>
              <w:autoSpaceDE w:val="0"/>
              <w:autoSpaceDN w:val="0"/>
              <w:adjustRightInd w:val="0"/>
              <w:ind w:right="-130"/>
              <w:jc w:val="center"/>
              <w:rPr>
                <w:rFonts w:ascii="Garamond" w:eastAsiaTheme="minorHAnsi" w:hAnsi="Garamond" w:cs="Garamond"/>
                <w:b/>
                <w:bCs/>
                <w:color w:val="000000"/>
                <w:lang w:val="uk-UA" w:eastAsia="en-US"/>
              </w:rPr>
            </w:pPr>
            <w:r>
              <w:rPr>
                <w:rFonts w:ascii="Garamond" w:eastAsiaTheme="minorHAnsi" w:hAnsi="Garamond" w:cs="Garamond"/>
                <w:b/>
                <w:bCs/>
                <w:color w:val="000000"/>
                <w:lang w:val="uk-UA" w:eastAsia="en-US"/>
              </w:rPr>
              <w:t>1411</w:t>
            </w:r>
          </w:p>
        </w:tc>
        <w:tc>
          <w:tcPr>
            <w:tcW w:w="2127" w:type="dxa"/>
            <w:tcBorders>
              <w:top w:val="single" w:sz="6" w:space="0" w:color="auto"/>
              <w:left w:val="single" w:sz="2" w:space="0" w:color="000000"/>
              <w:bottom w:val="single" w:sz="12" w:space="0" w:color="auto"/>
              <w:right w:val="single" w:sz="2" w:space="0" w:color="000000"/>
            </w:tcBorders>
          </w:tcPr>
          <w:p w:rsidR="00590228" w:rsidRPr="00E508C6" w:rsidRDefault="003D5807" w:rsidP="004047BD">
            <w:pPr>
              <w:tabs>
                <w:tab w:val="left" w:pos="831"/>
              </w:tabs>
              <w:suppressAutoHyphens w:val="0"/>
              <w:autoSpaceDE w:val="0"/>
              <w:autoSpaceDN w:val="0"/>
              <w:adjustRightInd w:val="0"/>
              <w:jc w:val="both"/>
              <w:rPr>
                <w:rFonts w:ascii="Garamond" w:eastAsiaTheme="minorHAnsi" w:hAnsi="Garamond" w:cs="Garamond"/>
                <w:b/>
                <w:bCs/>
                <w:color w:val="000000"/>
                <w:lang w:val="uk-UA" w:eastAsia="en-US"/>
              </w:rPr>
            </w:pPr>
            <w:r>
              <w:rPr>
                <w:rFonts w:ascii="Garamond" w:eastAsiaTheme="minorHAnsi" w:hAnsi="Garamond" w:cs="Garamond"/>
                <w:b/>
                <w:bCs/>
                <w:color w:val="000000"/>
                <w:lang w:val="uk-UA" w:eastAsia="en-US"/>
              </w:rPr>
              <w:t>1170</w:t>
            </w:r>
          </w:p>
        </w:tc>
      </w:tr>
    </w:tbl>
    <w:p w:rsidR="00590228" w:rsidRPr="003717AB" w:rsidRDefault="00590228" w:rsidP="004047BD">
      <w:pPr>
        <w:tabs>
          <w:tab w:val="left" w:pos="284"/>
        </w:tabs>
        <w:suppressAutoHyphens w:val="0"/>
        <w:autoSpaceDE w:val="0"/>
        <w:autoSpaceDN w:val="0"/>
        <w:adjustRightInd w:val="0"/>
        <w:spacing w:before="240" w:after="240"/>
        <w:contextualSpacing/>
        <w:jc w:val="both"/>
        <w:rPr>
          <w:rFonts w:eastAsia="Calibri"/>
          <w:b/>
          <w:lang w:val="uk-UA" w:eastAsia="en-US"/>
        </w:rPr>
      </w:pPr>
    </w:p>
    <w:p w:rsidR="003717AB" w:rsidRPr="003717AB" w:rsidRDefault="003717AB" w:rsidP="004047BD">
      <w:pPr>
        <w:suppressAutoHyphens w:val="0"/>
        <w:autoSpaceDE w:val="0"/>
        <w:autoSpaceDN w:val="0"/>
        <w:adjustRightInd w:val="0"/>
        <w:spacing w:before="240"/>
        <w:jc w:val="both"/>
        <w:rPr>
          <w:rFonts w:eastAsia="Calibri"/>
          <w:b/>
          <w:lang w:val="uk-UA" w:eastAsia="en-US"/>
        </w:rPr>
      </w:pPr>
    </w:p>
    <w:p w:rsidR="003717AB" w:rsidRPr="003717AB" w:rsidRDefault="00357A2C" w:rsidP="004047BD">
      <w:pPr>
        <w:suppressAutoHyphens w:val="0"/>
        <w:autoSpaceDE w:val="0"/>
        <w:autoSpaceDN w:val="0"/>
        <w:adjustRightInd w:val="0"/>
        <w:spacing w:before="240"/>
        <w:jc w:val="both"/>
        <w:rPr>
          <w:rFonts w:eastAsia="Calibri"/>
          <w:b/>
          <w:lang w:val="uk-UA" w:eastAsia="en-US"/>
        </w:rPr>
      </w:pPr>
      <w:r>
        <w:rPr>
          <w:rFonts w:eastAsia="Calibri"/>
          <w:b/>
          <w:lang w:val="uk-UA" w:eastAsia="en-US"/>
        </w:rPr>
        <w:t>5</w:t>
      </w:r>
      <w:r w:rsidR="00F71119">
        <w:rPr>
          <w:rFonts w:eastAsia="Calibri"/>
          <w:b/>
          <w:lang w:val="uk-UA" w:eastAsia="en-US"/>
        </w:rPr>
        <w:t>.2</w:t>
      </w:r>
      <w:r w:rsidR="003717AB" w:rsidRPr="003717AB">
        <w:rPr>
          <w:rFonts w:eastAsia="Calibri"/>
          <w:b/>
          <w:lang w:val="uk-UA" w:eastAsia="en-US"/>
        </w:rPr>
        <w:t>.Дебіторська заборгованість</w:t>
      </w:r>
    </w:p>
    <w:p w:rsidR="003717AB" w:rsidRDefault="003717AB" w:rsidP="004047BD">
      <w:pPr>
        <w:suppressAutoHyphens w:val="0"/>
        <w:autoSpaceDE w:val="0"/>
        <w:autoSpaceDN w:val="0"/>
        <w:adjustRightInd w:val="0"/>
        <w:spacing w:before="240"/>
        <w:jc w:val="both"/>
        <w:rPr>
          <w:rFonts w:eastAsia="Calibri"/>
          <w:lang w:val="uk-UA" w:eastAsia="en-US"/>
        </w:rPr>
      </w:pPr>
      <w:r w:rsidRPr="003717AB">
        <w:rPr>
          <w:rFonts w:eastAsia="Calibri"/>
          <w:i/>
          <w:iCs/>
          <w:sz w:val="22"/>
          <w:szCs w:val="22"/>
          <w:lang w:val="uk-UA" w:eastAsia="ru-RU"/>
        </w:rPr>
        <w:t>МСФЗ  (</w:t>
      </w:r>
      <w:r w:rsidRPr="003717AB">
        <w:rPr>
          <w:rFonts w:eastAsia="Calibri"/>
          <w:i/>
          <w:iCs/>
          <w:sz w:val="22"/>
          <w:szCs w:val="22"/>
          <w:lang w:eastAsia="ru-RU"/>
        </w:rPr>
        <w:t>IFRS</w:t>
      </w:r>
      <w:r w:rsidRPr="003717AB">
        <w:rPr>
          <w:rFonts w:eastAsia="Calibri"/>
          <w:i/>
          <w:iCs/>
          <w:sz w:val="22"/>
          <w:szCs w:val="22"/>
          <w:lang w:val="uk-UA" w:eastAsia="ru-RU"/>
        </w:rPr>
        <w:t>) 7.37</w:t>
      </w:r>
      <w:r w:rsidRPr="003717AB">
        <w:rPr>
          <w:rFonts w:ascii="Arial" w:eastAsia="Calibri" w:hAnsi="Arial" w:cs="Arial"/>
          <w:i/>
          <w:iCs/>
          <w:sz w:val="12"/>
          <w:szCs w:val="12"/>
          <w:lang w:val="uk-UA" w:eastAsia="ru-RU"/>
        </w:rPr>
        <w:t xml:space="preserve">   </w:t>
      </w:r>
      <w:r w:rsidRPr="003717AB">
        <w:rPr>
          <w:rFonts w:eastAsia="Calibri"/>
          <w:lang w:val="uk-UA" w:eastAsia="en-US"/>
        </w:rPr>
        <w:t>Дебіторська заборгованість оцінюється за чистою вартістю реалізації, тобто за первісною вартістю, зменшеною на суму створеного резерву сумнівних боргів.</w:t>
      </w:r>
    </w:p>
    <w:p w:rsidR="00EF6F67" w:rsidRPr="003717AB" w:rsidRDefault="00EF6F67" w:rsidP="004047BD">
      <w:pPr>
        <w:suppressAutoHyphens w:val="0"/>
        <w:autoSpaceDE w:val="0"/>
        <w:autoSpaceDN w:val="0"/>
        <w:adjustRightInd w:val="0"/>
        <w:spacing w:before="240"/>
        <w:jc w:val="both"/>
        <w:rPr>
          <w:rFonts w:eastAsia="Calibri"/>
          <w:lang w:val="uk-UA" w:eastAsia="en-US"/>
        </w:rPr>
      </w:pPr>
      <w:r>
        <w:rPr>
          <w:rFonts w:eastAsia="Calibri"/>
          <w:lang w:val="uk-UA" w:eastAsia="en-US"/>
        </w:rPr>
        <w:t xml:space="preserve">У </w:t>
      </w:r>
      <w:r w:rsidR="008B36FD">
        <w:rPr>
          <w:rFonts w:eastAsia="Calibri"/>
          <w:lang w:val="uk-UA" w:eastAsia="en-US"/>
        </w:rPr>
        <w:t xml:space="preserve">звітному періоді </w:t>
      </w:r>
      <w:r>
        <w:rPr>
          <w:rFonts w:eastAsia="Calibri"/>
          <w:lang w:val="uk-UA" w:eastAsia="en-US"/>
        </w:rPr>
        <w:t xml:space="preserve"> резерв сумнівних боргів не нараховувався.</w:t>
      </w:r>
    </w:p>
    <w:p w:rsidR="006A67FD" w:rsidRDefault="006A67FD" w:rsidP="004047BD">
      <w:pPr>
        <w:tabs>
          <w:tab w:val="left" w:pos="284"/>
        </w:tabs>
        <w:suppressAutoHyphens w:val="0"/>
        <w:autoSpaceDE w:val="0"/>
        <w:autoSpaceDN w:val="0"/>
        <w:adjustRightInd w:val="0"/>
        <w:spacing w:before="240" w:after="240"/>
        <w:ind w:left="360"/>
        <w:contextualSpacing/>
        <w:jc w:val="both"/>
        <w:rPr>
          <w:rFonts w:eastAsia="Calibri"/>
          <w:b/>
          <w:lang w:val="uk-UA" w:eastAsia="en-US"/>
        </w:rPr>
      </w:pPr>
    </w:p>
    <w:p w:rsidR="003717AB" w:rsidRPr="003717AB" w:rsidRDefault="00EF6F67" w:rsidP="004047BD">
      <w:pPr>
        <w:tabs>
          <w:tab w:val="left" w:pos="284"/>
        </w:tabs>
        <w:suppressAutoHyphens w:val="0"/>
        <w:autoSpaceDE w:val="0"/>
        <w:autoSpaceDN w:val="0"/>
        <w:adjustRightInd w:val="0"/>
        <w:spacing w:before="240" w:after="240"/>
        <w:ind w:left="360"/>
        <w:contextualSpacing/>
        <w:jc w:val="both"/>
        <w:rPr>
          <w:rFonts w:eastAsia="Calibri"/>
          <w:lang w:val="uk-UA" w:eastAsia="en-US"/>
        </w:rPr>
      </w:pPr>
      <w:r>
        <w:rPr>
          <w:rFonts w:eastAsia="Calibri"/>
          <w:b/>
          <w:lang w:val="uk-UA" w:eastAsia="en-US"/>
        </w:rPr>
        <w:t xml:space="preserve">Дебіторська заборгованість з нарахованих доходів </w:t>
      </w:r>
      <w:r w:rsidR="006A67FD">
        <w:rPr>
          <w:rFonts w:eastAsia="Calibri"/>
          <w:b/>
          <w:lang w:val="uk-UA" w:eastAsia="en-US"/>
        </w:rPr>
        <w:t xml:space="preserve">  (</w:t>
      </w:r>
      <w:r w:rsidR="006A67FD" w:rsidRPr="003717AB">
        <w:rPr>
          <w:rFonts w:eastAsia="Calibri"/>
          <w:lang w:val="uk-UA" w:eastAsia="en-US"/>
        </w:rPr>
        <w:t xml:space="preserve">тис. </w:t>
      </w:r>
      <w:r w:rsidR="006A67FD">
        <w:rPr>
          <w:rFonts w:eastAsia="Calibri"/>
          <w:lang w:val="uk-UA" w:eastAsia="en-US"/>
        </w:rPr>
        <w:t>грн.)</w:t>
      </w:r>
    </w:p>
    <w:tbl>
      <w:tblPr>
        <w:tblW w:w="10612" w:type="dxa"/>
        <w:tblInd w:w="93" w:type="dxa"/>
        <w:tblLook w:val="04A0" w:firstRow="1" w:lastRow="0" w:firstColumn="1" w:lastColumn="0" w:noHBand="0" w:noVBand="1"/>
      </w:tblPr>
      <w:tblGrid>
        <w:gridCol w:w="1002"/>
        <w:gridCol w:w="2422"/>
        <w:gridCol w:w="2613"/>
        <w:gridCol w:w="2611"/>
        <w:gridCol w:w="69"/>
        <w:gridCol w:w="705"/>
        <w:gridCol w:w="369"/>
        <w:gridCol w:w="821"/>
      </w:tblGrid>
      <w:tr w:rsidR="003717AB" w:rsidRPr="003717AB" w:rsidTr="006A67FD">
        <w:trPr>
          <w:trHeight w:val="315"/>
        </w:trPr>
        <w:tc>
          <w:tcPr>
            <w:tcW w:w="8492" w:type="dxa"/>
            <w:gridSpan w:val="5"/>
            <w:tcBorders>
              <w:top w:val="nil"/>
              <w:left w:val="nil"/>
              <w:bottom w:val="nil"/>
              <w:right w:val="nil"/>
            </w:tcBorders>
            <w:shd w:val="clear" w:color="auto" w:fill="auto"/>
            <w:noWrap/>
            <w:vAlign w:val="bottom"/>
          </w:tcPr>
          <w:p w:rsidR="003717AB" w:rsidRPr="003717AB" w:rsidRDefault="003717AB" w:rsidP="004047BD">
            <w:pPr>
              <w:suppressAutoHyphens w:val="0"/>
              <w:jc w:val="both"/>
              <w:rPr>
                <w:rFonts w:eastAsia="Calibri"/>
                <w:lang w:val="uk-UA" w:eastAsia="en-US"/>
              </w:rPr>
            </w:pPr>
            <w:r w:rsidRPr="003717AB">
              <w:rPr>
                <w:rFonts w:eastAsia="Calibri"/>
                <w:lang w:val="uk-UA" w:eastAsia="en-US"/>
              </w:rPr>
              <w:t>.</w:t>
            </w:r>
          </w:p>
          <w:tbl>
            <w:tblPr>
              <w:tblW w:w="96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2677"/>
              <w:gridCol w:w="1296"/>
              <w:gridCol w:w="1383"/>
            </w:tblGrid>
            <w:tr w:rsidR="006A67FD" w:rsidRPr="003717AB" w:rsidTr="006A67FD">
              <w:trPr>
                <w:trHeight w:val="312"/>
              </w:trPr>
              <w:tc>
                <w:tcPr>
                  <w:tcW w:w="4291" w:type="dxa"/>
                  <w:shd w:val="clear" w:color="auto" w:fill="auto"/>
                </w:tcPr>
                <w:p w:rsidR="006A67FD" w:rsidRPr="003717AB" w:rsidRDefault="006A67FD" w:rsidP="004047BD">
                  <w:pPr>
                    <w:suppressAutoHyphens w:val="0"/>
                    <w:jc w:val="both"/>
                    <w:rPr>
                      <w:rFonts w:eastAsia="Calibri"/>
                      <w:b/>
                      <w:i/>
                      <w:lang w:val="uk-UA" w:eastAsia="en-US"/>
                    </w:rPr>
                  </w:pPr>
                </w:p>
              </w:tc>
              <w:tc>
                <w:tcPr>
                  <w:tcW w:w="2679" w:type="dxa"/>
                  <w:shd w:val="clear" w:color="auto" w:fill="auto"/>
                  <w:vAlign w:val="bottom"/>
                </w:tcPr>
                <w:p w:rsidR="006A67FD" w:rsidRPr="003717AB" w:rsidRDefault="006A67FD" w:rsidP="004047BD">
                  <w:pPr>
                    <w:suppressAutoHyphens w:val="0"/>
                    <w:ind w:left="-54" w:right="-35"/>
                    <w:jc w:val="both"/>
                    <w:rPr>
                      <w:b/>
                      <w:bCs/>
                      <w:color w:val="000000"/>
                      <w:lang w:val="uk-UA" w:eastAsia="uk-UA"/>
                    </w:rPr>
                  </w:pPr>
                  <w:r w:rsidRPr="003717AB">
                    <w:rPr>
                      <w:b/>
                      <w:bCs/>
                      <w:color w:val="000000"/>
                      <w:lang w:val="uk-UA" w:eastAsia="uk-UA"/>
                    </w:rPr>
                    <w:t>31.12.2016</w:t>
                  </w:r>
                </w:p>
              </w:tc>
              <w:tc>
                <w:tcPr>
                  <w:tcW w:w="1290" w:type="dxa"/>
                  <w:shd w:val="clear" w:color="auto" w:fill="auto"/>
                  <w:vAlign w:val="bottom"/>
                </w:tcPr>
                <w:p w:rsidR="006A67FD" w:rsidRPr="003717AB" w:rsidRDefault="005A5D7F" w:rsidP="004047BD">
                  <w:pPr>
                    <w:suppressAutoHyphens w:val="0"/>
                    <w:jc w:val="both"/>
                    <w:rPr>
                      <w:b/>
                      <w:bCs/>
                      <w:color w:val="000000"/>
                      <w:lang w:val="uk-UA" w:eastAsia="uk-UA"/>
                    </w:rPr>
                  </w:pPr>
                  <w:r>
                    <w:rPr>
                      <w:b/>
                      <w:bCs/>
                      <w:color w:val="000000"/>
                      <w:lang w:val="uk-UA" w:eastAsia="uk-UA"/>
                    </w:rPr>
                    <w:t>31.12.2017</w:t>
                  </w:r>
                </w:p>
              </w:tc>
              <w:tc>
                <w:tcPr>
                  <w:tcW w:w="1384" w:type="dxa"/>
                  <w:shd w:val="clear" w:color="auto" w:fill="auto"/>
                  <w:vAlign w:val="bottom"/>
                </w:tcPr>
                <w:p w:rsidR="006A67FD" w:rsidRPr="003717AB" w:rsidRDefault="006A67FD" w:rsidP="004047BD">
                  <w:pPr>
                    <w:suppressAutoHyphens w:val="0"/>
                    <w:jc w:val="both"/>
                    <w:rPr>
                      <w:b/>
                      <w:bCs/>
                      <w:color w:val="000000"/>
                      <w:lang w:val="uk-UA" w:eastAsia="uk-UA"/>
                    </w:rPr>
                  </w:pPr>
                </w:p>
              </w:tc>
            </w:tr>
            <w:tr w:rsidR="006A67FD" w:rsidRPr="003717AB" w:rsidTr="006A67FD">
              <w:trPr>
                <w:trHeight w:val="658"/>
              </w:trPr>
              <w:tc>
                <w:tcPr>
                  <w:tcW w:w="4291" w:type="dxa"/>
                  <w:shd w:val="clear" w:color="auto" w:fill="auto"/>
                  <w:vAlign w:val="bottom"/>
                </w:tcPr>
                <w:p w:rsidR="006A67FD" w:rsidRPr="003717AB" w:rsidRDefault="006A67FD" w:rsidP="004047BD">
                  <w:pPr>
                    <w:suppressAutoHyphens w:val="0"/>
                    <w:jc w:val="both"/>
                    <w:rPr>
                      <w:color w:val="000000"/>
                      <w:lang w:val="uk-UA" w:eastAsia="uk-UA"/>
                    </w:rPr>
                  </w:pPr>
                  <w:r w:rsidRPr="006A67FD">
                    <w:rPr>
                      <w:color w:val="000000"/>
                      <w:lang w:val="uk-UA" w:eastAsia="uk-UA"/>
                    </w:rPr>
                    <w:t>Дебіторська заборгованість з нарахованих доходів</w:t>
                  </w:r>
                </w:p>
              </w:tc>
              <w:tc>
                <w:tcPr>
                  <w:tcW w:w="2679" w:type="dxa"/>
                  <w:shd w:val="clear" w:color="auto" w:fill="auto"/>
                </w:tcPr>
                <w:p w:rsidR="006A67FD" w:rsidRPr="003717AB" w:rsidRDefault="006A67FD" w:rsidP="004047BD">
                  <w:pPr>
                    <w:suppressAutoHyphens w:val="0"/>
                    <w:ind w:left="-54" w:right="-35"/>
                    <w:jc w:val="both"/>
                    <w:rPr>
                      <w:rFonts w:eastAsia="Calibri"/>
                      <w:lang w:val="uk-UA" w:eastAsia="en-US"/>
                    </w:rPr>
                  </w:pPr>
                </w:p>
                <w:p w:rsidR="006A67FD" w:rsidRPr="003717AB" w:rsidRDefault="006A67FD" w:rsidP="004047BD">
                  <w:pPr>
                    <w:suppressAutoHyphens w:val="0"/>
                    <w:ind w:left="-54" w:right="-35"/>
                    <w:jc w:val="both"/>
                    <w:rPr>
                      <w:rFonts w:eastAsia="Calibri"/>
                      <w:lang w:val="uk-UA" w:eastAsia="en-US"/>
                    </w:rPr>
                  </w:pPr>
                  <w:r w:rsidRPr="003717AB">
                    <w:rPr>
                      <w:rFonts w:eastAsia="Calibri"/>
                      <w:lang w:val="uk-UA" w:eastAsia="en-US"/>
                    </w:rPr>
                    <w:t>287</w:t>
                  </w:r>
                </w:p>
              </w:tc>
              <w:tc>
                <w:tcPr>
                  <w:tcW w:w="1290" w:type="dxa"/>
                  <w:shd w:val="clear" w:color="auto" w:fill="auto"/>
                </w:tcPr>
                <w:p w:rsidR="006A67FD" w:rsidRPr="003717AB" w:rsidRDefault="006A67FD" w:rsidP="004047BD">
                  <w:pPr>
                    <w:suppressAutoHyphens w:val="0"/>
                    <w:ind w:left="-181"/>
                    <w:jc w:val="both"/>
                    <w:rPr>
                      <w:rFonts w:eastAsia="Calibri"/>
                      <w:lang w:val="uk-UA" w:eastAsia="en-US"/>
                    </w:rPr>
                  </w:pPr>
                </w:p>
                <w:p w:rsidR="006A67FD" w:rsidRPr="003717AB" w:rsidRDefault="00CA7B37" w:rsidP="004047BD">
                  <w:pPr>
                    <w:suppressAutoHyphens w:val="0"/>
                    <w:ind w:right="-362"/>
                    <w:jc w:val="both"/>
                    <w:rPr>
                      <w:rFonts w:eastAsia="Calibri"/>
                      <w:lang w:val="uk-UA" w:eastAsia="en-US"/>
                    </w:rPr>
                  </w:pPr>
                  <w:r>
                    <w:rPr>
                      <w:rFonts w:eastAsia="Calibri"/>
                      <w:lang w:val="uk-UA" w:eastAsia="en-US"/>
                    </w:rPr>
                    <w:t>326</w:t>
                  </w:r>
                </w:p>
              </w:tc>
              <w:tc>
                <w:tcPr>
                  <w:tcW w:w="1384" w:type="dxa"/>
                  <w:shd w:val="clear" w:color="auto" w:fill="auto"/>
                </w:tcPr>
                <w:p w:rsidR="006A67FD" w:rsidRDefault="006A67FD" w:rsidP="004047BD">
                  <w:pPr>
                    <w:suppressAutoHyphens w:val="0"/>
                    <w:spacing w:after="200" w:line="276" w:lineRule="auto"/>
                    <w:jc w:val="both"/>
                    <w:rPr>
                      <w:rFonts w:eastAsia="Calibri"/>
                      <w:lang w:val="uk-UA" w:eastAsia="en-US"/>
                    </w:rPr>
                  </w:pPr>
                </w:p>
                <w:p w:rsidR="006A67FD" w:rsidRPr="003717AB" w:rsidRDefault="006A67FD" w:rsidP="004047BD">
                  <w:pPr>
                    <w:suppressAutoHyphens w:val="0"/>
                    <w:ind w:right="-362"/>
                    <w:jc w:val="both"/>
                    <w:rPr>
                      <w:rFonts w:eastAsia="Calibri"/>
                      <w:lang w:val="uk-UA" w:eastAsia="en-US"/>
                    </w:rPr>
                  </w:pPr>
                </w:p>
              </w:tc>
            </w:tr>
          </w:tbl>
          <w:p w:rsidR="003717AB" w:rsidRPr="003717AB" w:rsidRDefault="003717AB" w:rsidP="004047BD">
            <w:pPr>
              <w:suppressAutoHyphens w:val="0"/>
              <w:jc w:val="both"/>
              <w:rPr>
                <w:rFonts w:eastAsia="Calibri"/>
                <w:i/>
                <w:lang w:val="uk-UA" w:eastAsia="en-US"/>
              </w:rPr>
            </w:pPr>
          </w:p>
          <w:p w:rsidR="003717AB" w:rsidRPr="003717AB" w:rsidRDefault="003717AB" w:rsidP="004047BD">
            <w:pPr>
              <w:tabs>
                <w:tab w:val="left" w:pos="284"/>
              </w:tabs>
              <w:suppressAutoHyphens w:val="0"/>
              <w:autoSpaceDE w:val="0"/>
              <w:autoSpaceDN w:val="0"/>
              <w:adjustRightInd w:val="0"/>
              <w:spacing w:before="240" w:after="240"/>
              <w:contextualSpacing/>
              <w:jc w:val="both"/>
              <w:rPr>
                <w:rFonts w:eastAsia="Calibri"/>
                <w:b/>
                <w:lang w:val="uk-UA" w:eastAsia="en-US"/>
              </w:rPr>
            </w:pPr>
            <w:r w:rsidRPr="003717AB">
              <w:rPr>
                <w:rFonts w:eastAsia="Calibri"/>
                <w:b/>
                <w:lang w:val="uk-UA" w:eastAsia="en-US"/>
              </w:rPr>
              <w:t>Інша дебіторська заборгованість:</w:t>
            </w:r>
          </w:p>
          <w:p w:rsidR="003717AB" w:rsidRPr="003717AB" w:rsidRDefault="003717AB" w:rsidP="004047BD">
            <w:pPr>
              <w:suppressAutoHyphens w:val="0"/>
              <w:jc w:val="both"/>
              <w:rPr>
                <w:i/>
                <w:iCs/>
                <w:color w:val="000000"/>
                <w:lang w:val="uk-UA" w:eastAsia="uk-UA"/>
              </w:rPr>
            </w:pPr>
            <w:r w:rsidRPr="003717AB">
              <w:rPr>
                <w:rFonts w:eastAsia="Calibri"/>
                <w:lang w:val="uk-UA" w:eastAsia="en-US"/>
              </w:rPr>
              <w:t>тис. грн.</w:t>
            </w:r>
          </w:p>
        </w:tc>
        <w:tc>
          <w:tcPr>
            <w:tcW w:w="793" w:type="dxa"/>
            <w:tcBorders>
              <w:top w:val="nil"/>
              <w:left w:val="nil"/>
              <w:bottom w:val="nil"/>
              <w:right w:val="nil"/>
            </w:tcBorders>
            <w:shd w:val="clear" w:color="auto" w:fill="auto"/>
            <w:noWrap/>
            <w:vAlign w:val="bottom"/>
          </w:tcPr>
          <w:p w:rsidR="003717AB" w:rsidRPr="003717AB" w:rsidRDefault="003717AB" w:rsidP="004047BD">
            <w:pPr>
              <w:suppressAutoHyphens w:val="0"/>
              <w:jc w:val="both"/>
              <w:rPr>
                <w:b/>
                <w:bCs/>
                <w:color w:val="000000"/>
                <w:lang w:val="uk-UA" w:eastAsia="uk-UA"/>
              </w:rPr>
            </w:pPr>
          </w:p>
        </w:tc>
        <w:tc>
          <w:tcPr>
            <w:tcW w:w="397" w:type="dxa"/>
            <w:tcBorders>
              <w:top w:val="nil"/>
              <w:left w:val="nil"/>
              <w:bottom w:val="nil"/>
              <w:right w:val="nil"/>
            </w:tcBorders>
            <w:shd w:val="clear" w:color="auto" w:fill="auto"/>
            <w:noWrap/>
            <w:vAlign w:val="bottom"/>
          </w:tcPr>
          <w:p w:rsidR="003717AB" w:rsidRPr="003717AB" w:rsidRDefault="003717AB" w:rsidP="004047BD">
            <w:pPr>
              <w:suppressAutoHyphens w:val="0"/>
              <w:jc w:val="both"/>
              <w:rPr>
                <w:color w:val="000000"/>
                <w:lang w:val="uk-UA" w:eastAsia="uk-UA"/>
              </w:rPr>
            </w:pPr>
          </w:p>
        </w:tc>
        <w:tc>
          <w:tcPr>
            <w:tcW w:w="930" w:type="dxa"/>
            <w:tcBorders>
              <w:top w:val="nil"/>
              <w:left w:val="nil"/>
              <w:bottom w:val="nil"/>
              <w:right w:val="nil"/>
            </w:tcBorders>
            <w:shd w:val="clear" w:color="auto" w:fill="auto"/>
            <w:noWrap/>
            <w:vAlign w:val="bottom"/>
          </w:tcPr>
          <w:p w:rsidR="003717AB" w:rsidRPr="003717AB" w:rsidRDefault="003717AB" w:rsidP="004047BD">
            <w:pPr>
              <w:suppressAutoHyphens w:val="0"/>
              <w:jc w:val="both"/>
              <w:rPr>
                <w:color w:val="000000"/>
                <w:lang w:val="uk-UA" w:eastAsia="uk-UA"/>
              </w:rPr>
            </w:pPr>
          </w:p>
        </w:tc>
      </w:tr>
      <w:tr w:rsidR="003717AB" w:rsidRPr="003717AB" w:rsidTr="006A6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1183" w:type="dxa"/>
          <w:wAfter w:w="2216" w:type="dxa"/>
        </w:trPr>
        <w:tc>
          <w:tcPr>
            <w:tcW w:w="2336" w:type="dxa"/>
            <w:shd w:val="clear" w:color="auto" w:fill="auto"/>
          </w:tcPr>
          <w:p w:rsidR="003717AB" w:rsidRPr="003717AB" w:rsidRDefault="003717AB" w:rsidP="004047BD">
            <w:pPr>
              <w:suppressAutoHyphens w:val="0"/>
              <w:jc w:val="both"/>
              <w:rPr>
                <w:rFonts w:eastAsia="Calibri"/>
                <w:b/>
                <w:i/>
                <w:lang w:val="uk-UA" w:eastAsia="en-US"/>
              </w:rPr>
            </w:pPr>
            <w:r w:rsidRPr="003717AB">
              <w:rPr>
                <w:rFonts w:eastAsia="Calibri"/>
                <w:b/>
                <w:i/>
                <w:lang w:val="uk-UA" w:eastAsia="en-US"/>
              </w:rPr>
              <w:t>Статті</w:t>
            </w:r>
          </w:p>
        </w:tc>
        <w:tc>
          <w:tcPr>
            <w:tcW w:w="2440" w:type="dxa"/>
            <w:shd w:val="clear" w:color="auto" w:fill="auto"/>
            <w:vAlign w:val="bottom"/>
          </w:tcPr>
          <w:p w:rsidR="003717AB" w:rsidRPr="003717AB" w:rsidRDefault="003717AB" w:rsidP="004047BD">
            <w:pPr>
              <w:suppressAutoHyphens w:val="0"/>
              <w:jc w:val="both"/>
              <w:rPr>
                <w:b/>
                <w:bCs/>
                <w:color w:val="000000"/>
                <w:lang w:val="uk-UA" w:eastAsia="uk-UA"/>
              </w:rPr>
            </w:pPr>
            <w:r w:rsidRPr="003717AB">
              <w:rPr>
                <w:b/>
                <w:bCs/>
                <w:color w:val="000000"/>
                <w:lang w:val="uk-UA" w:eastAsia="uk-UA"/>
              </w:rPr>
              <w:t>31.12.2016</w:t>
            </w:r>
          </w:p>
        </w:tc>
        <w:tc>
          <w:tcPr>
            <w:tcW w:w="2437" w:type="dxa"/>
            <w:shd w:val="clear" w:color="auto" w:fill="auto"/>
            <w:vAlign w:val="bottom"/>
          </w:tcPr>
          <w:p w:rsidR="003717AB" w:rsidRPr="003717AB" w:rsidRDefault="005A5D7F" w:rsidP="004047BD">
            <w:pPr>
              <w:suppressAutoHyphens w:val="0"/>
              <w:jc w:val="both"/>
              <w:rPr>
                <w:b/>
                <w:bCs/>
                <w:color w:val="000000"/>
                <w:lang w:val="uk-UA" w:eastAsia="uk-UA"/>
              </w:rPr>
            </w:pPr>
            <w:r>
              <w:rPr>
                <w:b/>
                <w:bCs/>
                <w:color w:val="000000"/>
                <w:lang w:val="uk-UA" w:eastAsia="uk-UA"/>
              </w:rPr>
              <w:t>31.12.2017</w:t>
            </w:r>
          </w:p>
        </w:tc>
      </w:tr>
      <w:tr w:rsidR="003717AB" w:rsidRPr="003717AB" w:rsidTr="006A6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1183" w:type="dxa"/>
          <w:wAfter w:w="2216" w:type="dxa"/>
        </w:trPr>
        <w:tc>
          <w:tcPr>
            <w:tcW w:w="2336" w:type="dxa"/>
            <w:shd w:val="clear" w:color="auto" w:fill="auto"/>
            <w:vAlign w:val="bottom"/>
          </w:tcPr>
          <w:p w:rsidR="003717AB" w:rsidRPr="003717AB" w:rsidRDefault="003717AB" w:rsidP="004047BD">
            <w:pPr>
              <w:suppressAutoHyphens w:val="0"/>
              <w:jc w:val="both"/>
              <w:rPr>
                <w:color w:val="000000"/>
                <w:lang w:val="uk-UA" w:eastAsia="uk-UA"/>
              </w:rPr>
            </w:pPr>
            <w:r w:rsidRPr="003717AB">
              <w:rPr>
                <w:color w:val="000000"/>
                <w:lang w:val="uk-UA" w:eastAsia="uk-UA"/>
              </w:rPr>
              <w:t>До 12 місяців</w:t>
            </w:r>
          </w:p>
        </w:tc>
        <w:tc>
          <w:tcPr>
            <w:tcW w:w="2440" w:type="dxa"/>
            <w:shd w:val="clear" w:color="auto" w:fill="auto"/>
          </w:tcPr>
          <w:p w:rsidR="003717AB" w:rsidRPr="003717AB" w:rsidRDefault="006A67FD" w:rsidP="004047BD">
            <w:pPr>
              <w:suppressAutoHyphens w:val="0"/>
              <w:jc w:val="both"/>
              <w:rPr>
                <w:rFonts w:eastAsia="Calibri"/>
                <w:lang w:val="uk-UA" w:eastAsia="en-US"/>
              </w:rPr>
            </w:pPr>
            <w:r>
              <w:rPr>
                <w:rFonts w:eastAsia="Calibri"/>
                <w:lang w:val="uk-UA" w:eastAsia="en-US"/>
              </w:rPr>
              <w:t>733</w:t>
            </w:r>
          </w:p>
        </w:tc>
        <w:tc>
          <w:tcPr>
            <w:tcW w:w="2437" w:type="dxa"/>
            <w:shd w:val="clear" w:color="auto" w:fill="auto"/>
          </w:tcPr>
          <w:p w:rsidR="003717AB" w:rsidRPr="003717AB" w:rsidRDefault="003717AB" w:rsidP="004047BD">
            <w:pPr>
              <w:suppressAutoHyphens w:val="0"/>
              <w:jc w:val="both"/>
              <w:rPr>
                <w:rFonts w:eastAsia="Calibri"/>
                <w:lang w:val="uk-UA" w:eastAsia="en-US"/>
              </w:rPr>
            </w:pPr>
          </w:p>
        </w:tc>
      </w:tr>
      <w:tr w:rsidR="003717AB" w:rsidRPr="003717AB" w:rsidTr="006A6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1183" w:type="dxa"/>
          <w:wAfter w:w="2216" w:type="dxa"/>
        </w:trPr>
        <w:tc>
          <w:tcPr>
            <w:tcW w:w="2336" w:type="dxa"/>
            <w:shd w:val="clear" w:color="auto" w:fill="auto"/>
            <w:vAlign w:val="bottom"/>
          </w:tcPr>
          <w:p w:rsidR="003717AB" w:rsidRPr="003717AB" w:rsidRDefault="003717AB" w:rsidP="004047BD">
            <w:pPr>
              <w:suppressAutoHyphens w:val="0"/>
              <w:jc w:val="both"/>
              <w:rPr>
                <w:color w:val="000000"/>
                <w:lang w:val="uk-UA" w:eastAsia="uk-UA"/>
              </w:rPr>
            </w:pPr>
          </w:p>
        </w:tc>
        <w:tc>
          <w:tcPr>
            <w:tcW w:w="2440" w:type="dxa"/>
            <w:shd w:val="clear" w:color="auto" w:fill="auto"/>
          </w:tcPr>
          <w:p w:rsidR="003717AB" w:rsidRPr="003717AB" w:rsidRDefault="003717AB" w:rsidP="004047BD">
            <w:pPr>
              <w:suppressAutoHyphens w:val="0"/>
              <w:jc w:val="both"/>
              <w:rPr>
                <w:rFonts w:eastAsia="Calibri"/>
                <w:lang w:val="uk-UA" w:eastAsia="en-US"/>
              </w:rPr>
            </w:pPr>
          </w:p>
        </w:tc>
        <w:tc>
          <w:tcPr>
            <w:tcW w:w="2437" w:type="dxa"/>
            <w:shd w:val="clear" w:color="auto" w:fill="auto"/>
          </w:tcPr>
          <w:p w:rsidR="003717AB" w:rsidRPr="003717AB" w:rsidRDefault="00CA7B37" w:rsidP="004047BD">
            <w:pPr>
              <w:suppressAutoHyphens w:val="0"/>
              <w:jc w:val="both"/>
              <w:rPr>
                <w:rFonts w:eastAsia="Calibri"/>
                <w:lang w:val="uk-UA" w:eastAsia="en-US"/>
              </w:rPr>
            </w:pPr>
            <w:r>
              <w:rPr>
                <w:rFonts w:eastAsia="Calibri"/>
                <w:lang w:val="uk-UA" w:eastAsia="en-US"/>
              </w:rPr>
              <w:t>979</w:t>
            </w:r>
          </w:p>
        </w:tc>
      </w:tr>
    </w:tbl>
    <w:p w:rsidR="003717AB" w:rsidRPr="003717AB" w:rsidRDefault="003717AB" w:rsidP="004047BD">
      <w:pPr>
        <w:tabs>
          <w:tab w:val="left" w:pos="284"/>
        </w:tabs>
        <w:suppressAutoHyphens w:val="0"/>
        <w:autoSpaceDE w:val="0"/>
        <w:autoSpaceDN w:val="0"/>
        <w:adjustRightInd w:val="0"/>
        <w:spacing w:before="240" w:after="240"/>
        <w:contextualSpacing/>
        <w:jc w:val="both"/>
        <w:rPr>
          <w:rFonts w:eastAsia="Calibri"/>
          <w:lang w:val="uk-UA" w:eastAsia="en-US"/>
        </w:rPr>
      </w:pPr>
    </w:p>
    <w:p w:rsidR="003717AB" w:rsidRPr="003717AB" w:rsidRDefault="00357A2C" w:rsidP="004047BD">
      <w:pPr>
        <w:tabs>
          <w:tab w:val="left" w:pos="284"/>
        </w:tabs>
        <w:suppressAutoHyphens w:val="0"/>
        <w:autoSpaceDE w:val="0"/>
        <w:autoSpaceDN w:val="0"/>
        <w:adjustRightInd w:val="0"/>
        <w:spacing w:before="240" w:after="240"/>
        <w:contextualSpacing/>
        <w:jc w:val="both"/>
        <w:rPr>
          <w:rFonts w:eastAsia="Calibri"/>
          <w:b/>
          <w:lang w:val="uk-UA" w:eastAsia="en-US"/>
        </w:rPr>
      </w:pPr>
      <w:r>
        <w:rPr>
          <w:rFonts w:eastAsia="Calibri"/>
          <w:b/>
          <w:lang w:val="uk-UA" w:eastAsia="en-US"/>
        </w:rPr>
        <w:t>5</w:t>
      </w:r>
      <w:r w:rsidR="00F71119">
        <w:rPr>
          <w:rFonts w:eastAsia="Calibri"/>
          <w:b/>
          <w:lang w:val="uk-UA" w:eastAsia="en-US"/>
        </w:rPr>
        <w:t>.3</w:t>
      </w:r>
      <w:r w:rsidR="003717AB" w:rsidRPr="003717AB">
        <w:rPr>
          <w:rFonts w:eastAsia="Calibri"/>
          <w:b/>
          <w:lang w:val="uk-UA" w:eastAsia="en-US"/>
        </w:rPr>
        <w:t>. Грошові кошти на їх еквіваленти</w:t>
      </w:r>
    </w:p>
    <w:p w:rsidR="003717AB" w:rsidRPr="003717AB" w:rsidRDefault="003717AB" w:rsidP="004047BD">
      <w:pPr>
        <w:suppressAutoHyphens w:val="0"/>
        <w:autoSpaceDE w:val="0"/>
        <w:autoSpaceDN w:val="0"/>
        <w:adjustRightInd w:val="0"/>
        <w:spacing w:before="240" w:after="240"/>
        <w:jc w:val="both"/>
        <w:rPr>
          <w:rFonts w:eastAsia="Calibri"/>
          <w:lang w:val="uk-UA" w:eastAsia="en-US"/>
        </w:rPr>
      </w:pPr>
      <w:r w:rsidRPr="003717AB">
        <w:rPr>
          <w:rFonts w:eastAsia="Calibri"/>
          <w:lang w:val="uk-UA" w:eastAsia="en-US"/>
        </w:rPr>
        <w:t xml:space="preserve">Склад грошових коштів та їх еквівалентів: </w:t>
      </w:r>
    </w:p>
    <w:p w:rsidR="003717AB" w:rsidRPr="003717AB" w:rsidRDefault="003717AB" w:rsidP="004047BD">
      <w:pPr>
        <w:suppressAutoHyphens w:val="0"/>
        <w:autoSpaceDE w:val="0"/>
        <w:autoSpaceDN w:val="0"/>
        <w:adjustRightInd w:val="0"/>
        <w:spacing w:before="240" w:after="240"/>
        <w:jc w:val="both"/>
        <w:rPr>
          <w:rFonts w:eastAsia="Calibri"/>
          <w:i/>
          <w:lang w:val="uk-UA" w:eastAsia="en-US"/>
        </w:rPr>
      </w:pPr>
      <w:r w:rsidRPr="003717AB">
        <w:rPr>
          <w:i/>
          <w:iCs/>
          <w:color w:val="000000"/>
          <w:lang w:val="uk-UA" w:eastAsia="uk-UA"/>
        </w:rPr>
        <w:t xml:space="preserve">                                                                                                   тис. грн.</w:t>
      </w:r>
    </w:p>
    <w:tbl>
      <w:tblPr>
        <w:tblW w:w="1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1365"/>
        <w:gridCol w:w="1493"/>
        <w:gridCol w:w="2019"/>
        <w:gridCol w:w="1306"/>
        <w:gridCol w:w="285"/>
        <w:gridCol w:w="1306"/>
      </w:tblGrid>
      <w:tr w:rsidR="003717AB" w:rsidRPr="003717AB" w:rsidTr="00C50B25">
        <w:trPr>
          <w:gridAfter w:val="4"/>
          <w:wAfter w:w="4814" w:type="dxa"/>
        </w:trPr>
        <w:tc>
          <w:tcPr>
            <w:tcW w:w="4670" w:type="dxa"/>
            <w:shd w:val="clear" w:color="auto" w:fill="auto"/>
          </w:tcPr>
          <w:p w:rsidR="003717AB" w:rsidRPr="003717AB" w:rsidRDefault="003717AB" w:rsidP="004047BD">
            <w:pPr>
              <w:suppressAutoHyphens w:val="0"/>
              <w:jc w:val="both"/>
              <w:rPr>
                <w:rFonts w:eastAsia="Calibri"/>
                <w:b/>
                <w:i/>
                <w:lang w:val="uk-UA" w:eastAsia="en-US"/>
              </w:rPr>
            </w:pPr>
            <w:r w:rsidRPr="003717AB">
              <w:rPr>
                <w:rFonts w:eastAsia="Calibri"/>
                <w:b/>
                <w:i/>
                <w:lang w:val="uk-UA" w:eastAsia="en-US"/>
              </w:rPr>
              <w:t>Статті</w:t>
            </w:r>
          </w:p>
        </w:tc>
        <w:tc>
          <w:tcPr>
            <w:tcW w:w="1296" w:type="dxa"/>
            <w:shd w:val="clear" w:color="auto" w:fill="auto"/>
            <w:vAlign w:val="bottom"/>
          </w:tcPr>
          <w:p w:rsidR="003717AB" w:rsidRPr="003717AB" w:rsidRDefault="003717AB" w:rsidP="004047BD">
            <w:pPr>
              <w:suppressAutoHyphens w:val="0"/>
              <w:jc w:val="both"/>
              <w:rPr>
                <w:b/>
                <w:bCs/>
                <w:color w:val="000000"/>
                <w:lang w:val="uk-UA" w:eastAsia="uk-UA"/>
              </w:rPr>
            </w:pPr>
            <w:r w:rsidRPr="003717AB">
              <w:rPr>
                <w:b/>
                <w:bCs/>
                <w:color w:val="000000"/>
                <w:lang w:val="uk-UA" w:eastAsia="uk-UA"/>
              </w:rPr>
              <w:t>31.12.2016</w:t>
            </w:r>
          </w:p>
        </w:tc>
        <w:tc>
          <w:tcPr>
            <w:tcW w:w="1417" w:type="dxa"/>
            <w:shd w:val="clear" w:color="auto" w:fill="auto"/>
            <w:vAlign w:val="bottom"/>
          </w:tcPr>
          <w:p w:rsidR="003717AB" w:rsidRPr="003717AB" w:rsidRDefault="005A5D7F" w:rsidP="004047BD">
            <w:pPr>
              <w:suppressAutoHyphens w:val="0"/>
              <w:jc w:val="both"/>
              <w:rPr>
                <w:b/>
                <w:bCs/>
                <w:color w:val="000000"/>
                <w:lang w:val="uk-UA" w:eastAsia="uk-UA"/>
              </w:rPr>
            </w:pPr>
            <w:r>
              <w:rPr>
                <w:b/>
                <w:bCs/>
                <w:color w:val="000000"/>
                <w:lang w:val="uk-UA" w:eastAsia="uk-UA"/>
              </w:rPr>
              <w:t>31.12.2017</w:t>
            </w:r>
          </w:p>
        </w:tc>
      </w:tr>
      <w:tr w:rsidR="003717AB" w:rsidRPr="003717AB" w:rsidTr="00C50B25">
        <w:trPr>
          <w:gridAfter w:val="4"/>
          <w:wAfter w:w="4814" w:type="dxa"/>
        </w:trPr>
        <w:tc>
          <w:tcPr>
            <w:tcW w:w="4670" w:type="dxa"/>
            <w:shd w:val="clear" w:color="auto" w:fill="auto"/>
            <w:vAlign w:val="bottom"/>
          </w:tcPr>
          <w:p w:rsidR="003717AB" w:rsidRPr="003717AB" w:rsidRDefault="003717AB" w:rsidP="004047BD">
            <w:pPr>
              <w:suppressAutoHyphens w:val="0"/>
              <w:jc w:val="both"/>
              <w:rPr>
                <w:color w:val="000000"/>
                <w:lang w:val="uk-UA" w:eastAsia="uk-UA"/>
              </w:rPr>
            </w:pPr>
            <w:r w:rsidRPr="003717AB">
              <w:rPr>
                <w:color w:val="000000"/>
                <w:lang w:val="uk-UA" w:eastAsia="uk-UA"/>
              </w:rPr>
              <w:t>Грошові кошти в національній валюті</w:t>
            </w:r>
          </w:p>
        </w:tc>
        <w:tc>
          <w:tcPr>
            <w:tcW w:w="1296" w:type="dxa"/>
            <w:shd w:val="clear" w:color="auto" w:fill="auto"/>
          </w:tcPr>
          <w:p w:rsidR="003717AB" w:rsidRPr="003717AB" w:rsidRDefault="00E0313C" w:rsidP="004047BD">
            <w:pPr>
              <w:suppressAutoHyphens w:val="0"/>
              <w:jc w:val="both"/>
              <w:rPr>
                <w:rFonts w:eastAsia="Calibri"/>
                <w:lang w:val="uk-UA" w:eastAsia="en-US"/>
              </w:rPr>
            </w:pPr>
            <w:r>
              <w:rPr>
                <w:rFonts w:eastAsia="Calibri"/>
                <w:lang w:val="uk-UA" w:eastAsia="en-US"/>
              </w:rPr>
              <w:t>150</w:t>
            </w:r>
          </w:p>
        </w:tc>
        <w:tc>
          <w:tcPr>
            <w:tcW w:w="1417" w:type="dxa"/>
            <w:shd w:val="clear" w:color="auto" w:fill="auto"/>
          </w:tcPr>
          <w:p w:rsidR="003717AB" w:rsidRPr="003717AB" w:rsidRDefault="00250E8B" w:rsidP="004047BD">
            <w:pPr>
              <w:suppressAutoHyphens w:val="0"/>
              <w:jc w:val="both"/>
              <w:rPr>
                <w:rFonts w:eastAsia="Calibri"/>
                <w:lang w:val="uk-UA" w:eastAsia="en-US"/>
              </w:rPr>
            </w:pPr>
            <w:r>
              <w:rPr>
                <w:rFonts w:eastAsia="Calibri"/>
                <w:lang w:val="uk-UA" w:eastAsia="en-US"/>
              </w:rPr>
              <w:t>106</w:t>
            </w:r>
          </w:p>
        </w:tc>
      </w:tr>
      <w:tr w:rsidR="003717AB" w:rsidRPr="003717AB" w:rsidTr="00C50B25">
        <w:trPr>
          <w:gridAfter w:val="4"/>
          <w:wAfter w:w="4814" w:type="dxa"/>
        </w:trPr>
        <w:tc>
          <w:tcPr>
            <w:tcW w:w="4670" w:type="dxa"/>
            <w:shd w:val="clear" w:color="auto" w:fill="auto"/>
            <w:vAlign w:val="bottom"/>
          </w:tcPr>
          <w:p w:rsidR="003717AB" w:rsidRPr="003717AB" w:rsidRDefault="003717AB" w:rsidP="004047BD">
            <w:pPr>
              <w:suppressAutoHyphens w:val="0"/>
              <w:jc w:val="both"/>
              <w:rPr>
                <w:color w:val="000000"/>
                <w:lang w:val="uk-UA" w:eastAsia="uk-UA"/>
              </w:rPr>
            </w:pPr>
            <w:r w:rsidRPr="003717AB">
              <w:rPr>
                <w:color w:val="000000"/>
                <w:lang w:val="uk-UA" w:eastAsia="uk-UA"/>
              </w:rPr>
              <w:lastRenderedPageBreak/>
              <w:t>Грошові кошти в іноземній валюті</w:t>
            </w:r>
          </w:p>
        </w:tc>
        <w:tc>
          <w:tcPr>
            <w:tcW w:w="1296" w:type="dxa"/>
            <w:shd w:val="clear" w:color="auto" w:fill="auto"/>
          </w:tcPr>
          <w:p w:rsidR="003717AB" w:rsidRPr="003717AB" w:rsidRDefault="003717AB" w:rsidP="004047BD">
            <w:pPr>
              <w:suppressAutoHyphens w:val="0"/>
              <w:jc w:val="both"/>
              <w:rPr>
                <w:rFonts w:eastAsia="Calibri"/>
                <w:lang w:val="uk-UA" w:eastAsia="en-US"/>
              </w:rPr>
            </w:pPr>
          </w:p>
        </w:tc>
        <w:tc>
          <w:tcPr>
            <w:tcW w:w="1417" w:type="dxa"/>
            <w:shd w:val="clear" w:color="auto" w:fill="auto"/>
          </w:tcPr>
          <w:p w:rsidR="003717AB" w:rsidRPr="003717AB" w:rsidRDefault="003717AB" w:rsidP="004047BD">
            <w:pPr>
              <w:suppressAutoHyphens w:val="0"/>
              <w:jc w:val="both"/>
              <w:rPr>
                <w:rFonts w:eastAsia="Calibri"/>
                <w:lang w:val="uk-UA" w:eastAsia="en-US"/>
              </w:rPr>
            </w:pPr>
          </w:p>
        </w:tc>
      </w:tr>
      <w:tr w:rsidR="00E0313C" w:rsidRPr="003717AB" w:rsidTr="00C50B25">
        <w:trPr>
          <w:gridAfter w:val="4"/>
          <w:wAfter w:w="4814" w:type="dxa"/>
        </w:trPr>
        <w:tc>
          <w:tcPr>
            <w:tcW w:w="4670" w:type="dxa"/>
            <w:shd w:val="clear" w:color="auto" w:fill="auto"/>
          </w:tcPr>
          <w:p w:rsidR="00E0313C" w:rsidRPr="003717AB" w:rsidRDefault="00E0313C" w:rsidP="004047BD">
            <w:pPr>
              <w:suppressAutoHyphens w:val="0"/>
              <w:jc w:val="both"/>
              <w:rPr>
                <w:rFonts w:eastAsia="Calibri"/>
                <w:b/>
                <w:i/>
                <w:lang w:val="uk-UA" w:eastAsia="en-US"/>
              </w:rPr>
            </w:pPr>
            <w:r w:rsidRPr="003717AB">
              <w:rPr>
                <w:rFonts w:eastAsia="Calibri"/>
                <w:b/>
                <w:i/>
                <w:lang w:val="uk-UA" w:eastAsia="en-US"/>
              </w:rPr>
              <w:t>Усього</w:t>
            </w:r>
          </w:p>
        </w:tc>
        <w:tc>
          <w:tcPr>
            <w:tcW w:w="1296" w:type="dxa"/>
            <w:shd w:val="clear" w:color="auto" w:fill="auto"/>
          </w:tcPr>
          <w:p w:rsidR="00E0313C" w:rsidRPr="00617098" w:rsidRDefault="00E0313C" w:rsidP="004047BD">
            <w:pPr>
              <w:jc w:val="both"/>
            </w:pPr>
            <w:r w:rsidRPr="00617098">
              <w:t>150</w:t>
            </w:r>
          </w:p>
        </w:tc>
        <w:tc>
          <w:tcPr>
            <w:tcW w:w="1417" w:type="dxa"/>
            <w:shd w:val="clear" w:color="auto" w:fill="auto"/>
          </w:tcPr>
          <w:p w:rsidR="00E0313C" w:rsidRPr="00250E8B" w:rsidRDefault="00250E8B" w:rsidP="004047BD">
            <w:pPr>
              <w:jc w:val="both"/>
              <w:rPr>
                <w:lang w:val="uk-UA"/>
              </w:rPr>
            </w:pPr>
            <w:r>
              <w:rPr>
                <w:lang w:val="uk-UA"/>
              </w:rPr>
              <w:t>106</w:t>
            </w:r>
          </w:p>
        </w:tc>
      </w:tr>
      <w:tr w:rsidR="00AF0073" w:rsidRPr="003717AB" w:rsidTr="00C50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300" w:type="dxa"/>
            <w:gridSpan w:val="4"/>
            <w:tcBorders>
              <w:top w:val="nil"/>
              <w:left w:val="nil"/>
              <w:bottom w:val="nil"/>
              <w:right w:val="nil"/>
            </w:tcBorders>
            <w:shd w:val="clear" w:color="auto" w:fill="auto"/>
            <w:noWrap/>
            <w:vAlign w:val="bottom"/>
          </w:tcPr>
          <w:p w:rsidR="00AF0073" w:rsidRPr="00602D77" w:rsidRDefault="00AF0073" w:rsidP="004047BD">
            <w:pPr>
              <w:suppressAutoHyphens w:val="0"/>
              <w:autoSpaceDE w:val="0"/>
              <w:autoSpaceDN w:val="0"/>
              <w:adjustRightInd w:val="0"/>
              <w:jc w:val="both"/>
              <w:rPr>
                <w:b/>
                <w:sz w:val="22"/>
                <w:lang w:val="uk-UA" w:eastAsia="ru-RU"/>
              </w:rPr>
            </w:pPr>
          </w:p>
        </w:tc>
        <w:tc>
          <w:tcPr>
            <w:tcW w:w="1306" w:type="dxa"/>
            <w:tcBorders>
              <w:top w:val="nil"/>
              <w:left w:val="nil"/>
              <w:bottom w:val="nil"/>
              <w:right w:val="nil"/>
            </w:tcBorders>
            <w:shd w:val="clear" w:color="auto" w:fill="auto"/>
            <w:noWrap/>
            <w:vAlign w:val="bottom"/>
          </w:tcPr>
          <w:p w:rsidR="00AF0073" w:rsidRPr="003717AB" w:rsidRDefault="00AF0073" w:rsidP="004047BD">
            <w:pPr>
              <w:suppressAutoHyphens w:val="0"/>
              <w:jc w:val="both"/>
              <w:rPr>
                <w:b/>
                <w:bCs/>
                <w:color w:val="000000"/>
                <w:lang w:val="uk-UA" w:eastAsia="uk-UA"/>
              </w:rPr>
            </w:pPr>
          </w:p>
        </w:tc>
        <w:tc>
          <w:tcPr>
            <w:tcW w:w="285" w:type="dxa"/>
            <w:tcBorders>
              <w:top w:val="nil"/>
              <w:left w:val="nil"/>
              <w:bottom w:val="nil"/>
              <w:right w:val="nil"/>
            </w:tcBorders>
            <w:shd w:val="clear" w:color="auto" w:fill="auto"/>
            <w:noWrap/>
            <w:vAlign w:val="bottom"/>
          </w:tcPr>
          <w:p w:rsidR="00AF0073" w:rsidRPr="003717AB" w:rsidRDefault="00AF0073" w:rsidP="004047BD">
            <w:pPr>
              <w:suppressAutoHyphens w:val="0"/>
              <w:jc w:val="both"/>
              <w:rPr>
                <w:color w:val="000000"/>
                <w:lang w:val="uk-UA" w:eastAsia="uk-UA"/>
              </w:rPr>
            </w:pPr>
          </w:p>
        </w:tc>
        <w:tc>
          <w:tcPr>
            <w:tcW w:w="1306" w:type="dxa"/>
            <w:tcBorders>
              <w:top w:val="nil"/>
              <w:left w:val="nil"/>
              <w:bottom w:val="nil"/>
              <w:right w:val="nil"/>
            </w:tcBorders>
            <w:shd w:val="clear" w:color="auto" w:fill="auto"/>
            <w:noWrap/>
            <w:vAlign w:val="bottom"/>
          </w:tcPr>
          <w:p w:rsidR="00AF0073" w:rsidRPr="003717AB" w:rsidRDefault="00AF0073" w:rsidP="004047BD">
            <w:pPr>
              <w:suppressAutoHyphens w:val="0"/>
              <w:jc w:val="both"/>
              <w:rPr>
                <w:color w:val="000000"/>
                <w:lang w:val="uk-UA" w:eastAsia="uk-UA"/>
              </w:rPr>
            </w:pPr>
          </w:p>
        </w:tc>
      </w:tr>
      <w:tr w:rsidR="003717AB" w:rsidRPr="003717AB" w:rsidTr="00C50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300" w:type="dxa"/>
            <w:gridSpan w:val="4"/>
            <w:tcBorders>
              <w:top w:val="nil"/>
              <w:left w:val="nil"/>
              <w:bottom w:val="nil"/>
              <w:right w:val="nil"/>
            </w:tcBorders>
            <w:shd w:val="clear" w:color="auto" w:fill="auto"/>
            <w:noWrap/>
            <w:vAlign w:val="bottom"/>
          </w:tcPr>
          <w:p w:rsidR="003717AB" w:rsidRPr="00602D77" w:rsidRDefault="003717AB" w:rsidP="004047BD">
            <w:pPr>
              <w:suppressAutoHyphens w:val="0"/>
              <w:autoSpaceDE w:val="0"/>
              <w:autoSpaceDN w:val="0"/>
              <w:adjustRightInd w:val="0"/>
              <w:jc w:val="both"/>
              <w:rPr>
                <w:b/>
                <w:sz w:val="22"/>
                <w:lang w:val="uk-UA" w:eastAsia="ru-RU"/>
              </w:rPr>
            </w:pPr>
          </w:p>
          <w:p w:rsidR="003717AB" w:rsidRPr="00602D77" w:rsidRDefault="003717AB" w:rsidP="004047BD">
            <w:pPr>
              <w:suppressAutoHyphens w:val="0"/>
              <w:autoSpaceDE w:val="0"/>
              <w:autoSpaceDN w:val="0"/>
              <w:adjustRightInd w:val="0"/>
              <w:jc w:val="both"/>
              <w:rPr>
                <w:b/>
                <w:sz w:val="22"/>
                <w:lang w:val="uk-UA" w:eastAsia="ru-RU"/>
              </w:rPr>
            </w:pPr>
            <w:r w:rsidRPr="00602D77">
              <w:rPr>
                <w:b/>
                <w:sz w:val="22"/>
                <w:lang w:val="uk-UA" w:eastAsia="ru-RU"/>
              </w:rPr>
              <w:t>Звіт про рух грошових коштів</w:t>
            </w:r>
          </w:p>
          <w:p w:rsidR="003717AB" w:rsidRPr="00602D77" w:rsidRDefault="003717AB" w:rsidP="004047BD">
            <w:pPr>
              <w:suppressAutoHyphens w:val="0"/>
              <w:autoSpaceDE w:val="0"/>
              <w:autoSpaceDN w:val="0"/>
              <w:adjustRightInd w:val="0"/>
              <w:jc w:val="both"/>
              <w:rPr>
                <w:sz w:val="22"/>
                <w:lang w:val="uk-UA" w:eastAsia="ru-RU"/>
              </w:rPr>
            </w:pPr>
            <w:r w:rsidRPr="00602D77">
              <w:rPr>
                <w:sz w:val="22"/>
                <w:lang w:val="uk-UA" w:eastAsia="ru-RU"/>
              </w:rPr>
              <w:t xml:space="preserve">Звіт щодо руху грошових коштів Товариства за звітний період складено за вимогами МСБО 7 «Звіт про рух грошових коштів» за прямим методом, згідно з яким розкривається інформація про основні класи валових надходжень грошових  коштів чи валових виплат грошових коштів на нетто-основі. У звіті відображено рух грошових коштів від операційної та не операційної (інвестиційної та фінансової) діяльності. </w:t>
            </w:r>
          </w:p>
          <w:p w:rsidR="003717AB" w:rsidRPr="00A22A1A" w:rsidRDefault="003717AB" w:rsidP="004047BD">
            <w:pPr>
              <w:suppressAutoHyphens w:val="0"/>
              <w:autoSpaceDE w:val="0"/>
              <w:autoSpaceDN w:val="0"/>
              <w:adjustRightInd w:val="0"/>
              <w:jc w:val="both"/>
              <w:rPr>
                <w:sz w:val="22"/>
                <w:lang w:val="uk-UA" w:eastAsia="ru-RU"/>
              </w:rPr>
            </w:pPr>
            <w:r w:rsidRPr="00602D77">
              <w:rPr>
                <w:sz w:val="22"/>
                <w:lang w:val="uk-UA" w:eastAsia="ru-RU"/>
              </w:rPr>
              <w:t xml:space="preserve">            </w:t>
            </w:r>
            <w:r w:rsidRPr="00A22A1A">
              <w:rPr>
                <w:sz w:val="22"/>
                <w:lang w:val="uk-UA" w:eastAsia="ru-RU"/>
              </w:rPr>
              <w:t xml:space="preserve">В результаті операційної діяльності надходження від реалізації виконаних  </w:t>
            </w:r>
            <w:r w:rsidR="002C6001" w:rsidRPr="00A22A1A">
              <w:rPr>
                <w:sz w:val="22"/>
                <w:lang w:val="uk-UA" w:eastAsia="ru-RU"/>
              </w:rPr>
              <w:t>послуг становить 1170</w:t>
            </w:r>
            <w:r w:rsidR="00DF53C9" w:rsidRPr="00A22A1A">
              <w:rPr>
                <w:sz w:val="22"/>
                <w:lang w:val="uk-UA" w:eastAsia="ru-RU"/>
              </w:rPr>
              <w:t xml:space="preserve"> тис. грн., надходження </w:t>
            </w:r>
            <w:r w:rsidRPr="00A22A1A">
              <w:rPr>
                <w:sz w:val="22"/>
                <w:lang w:val="uk-UA" w:eastAsia="ru-RU"/>
              </w:rPr>
              <w:t xml:space="preserve"> </w:t>
            </w:r>
            <w:r w:rsidR="00DF53C9" w:rsidRPr="00A22A1A">
              <w:rPr>
                <w:sz w:val="22"/>
                <w:lang w:val="uk-UA" w:eastAsia="ru-RU"/>
              </w:rPr>
              <w:t>фінансових уста</w:t>
            </w:r>
            <w:r w:rsidR="002C6001" w:rsidRPr="00A22A1A">
              <w:rPr>
                <w:sz w:val="22"/>
                <w:lang w:val="uk-UA" w:eastAsia="ru-RU"/>
              </w:rPr>
              <w:t>нов від повернення позик  – 10049</w:t>
            </w:r>
            <w:r w:rsidRPr="00A22A1A">
              <w:rPr>
                <w:sz w:val="22"/>
                <w:lang w:val="uk-UA" w:eastAsia="ru-RU"/>
              </w:rPr>
              <w:t xml:space="preserve"> тис. грн.  Інші витрачання:  перерахування коштів Пенсійному фонду  </w:t>
            </w:r>
            <w:r w:rsidR="002C6001" w:rsidRPr="00A22A1A">
              <w:rPr>
                <w:sz w:val="22"/>
                <w:lang w:val="uk-UA" w:eastAsia="ru-RU"/>
              </w:rPr>
              <w:t>– 116</w:t>
            </w:r>
            <w:r w:rsidRPr="00A22A1A">
              <w:rPr>
                <w:sz w:val="22"/>
                <w:lang w:val="uk-UA" w:eastAsia="ru-RU"/>
              </w:rPr>
              <w:t xml:space="preserve"> тис. грн., </w:t>
            </w:r>
            <w:r w:rsidR="002C6001" w:rsidRPr="00A22A1A">
              <w:rPr>
                <w:sz w:val="22"/>
                <w:lang w:val="uk-UA" w:eastAsia="ru-RU"/>
              </w:rPr>
              <w:t>зборів і податків – 54</w:t>
            </w:r>
            <w:r w:rsidRPr="00A22A1A">
              <w:rPr>
                <w:sz w:val="22"/>
                <w:lang w:val="uk-UA" w:eastAsia="ru-RU"/>
              </w:rPr>
              <w:t xml:space="preserve"> тис. грн., оплата </w:t>
            </w:r>
            <w:r w:rsidR="002C6001" w:rsidRPr="00A22A1A">
              <w:rPr>
                <w:sz w:val="22"/>
                <w:lang w:val="uk-UA" w:eastAsia="ru-RU"/>
              </w:rPr>
              <w:t>праці – 53</w:t>
            </w:r>
            <w:r w:rsidR="00DF53C9" w:rsidRPr="00A22A1A">
              <w:rPr>
                <w:sz w:val="22"/>
                <w:lang w:val="uk-UA" w:eastAsia="ru-RU"/>
              </w:rPr>
              <w:t xml:space="preserve">1 </w:t>
            </w:r>
            <w:r w:rsidRPr="00A22A1A">
              <w:rPr>
                <w:sz w:val="22"/>
                <w:lang w:val="uk-UA" w:eastAsia="ru-RU"/>
              </w:rPr>
              <w:t xml:space="preserve">тис. грн., </w:t>
            </w:r>
            <w:r w:rsidR="00DF53C9" w:rsidRPr="00A22A1A">
              <w:rPr>
                <w:sz w:val="22"/>
                <w:lang w:val="uk-UA" w:eastAsia="ru-RU"/>
              </w:rPr>
              <w:t>ви</w:t>
            </w:r>
            <w:r w:rsidR="002C6001" w:rsidRPr="00A22A1A">
              <w:rPr>
                <w:sz w:val="22"/>
                <w:lang w:val="uk-UA" w:eastAsia="ru-RU"/>
              </w:rPr>
              <w:t>трачання на надання позик – 10400</w:t>
            </w:r>
            <w:r w:rsidRPr="00A22A1A">
              <w:rPr>
                <w:sz w:val="22"/>
                <w:lang w:val="uk-UA" w:eastAsia="ru-RU"/>
              </w:rPr>
              <w:t xml:space="preserve"> ти</w:t>
            </w:r>
            <w:r w:rsidR="002C6001" w:rsidRPr="00A22A1A">
              <w:rPr>
                <w:sz w:val="22"/>
                <w:lang w:val="uk-UA" w:eastAsia="ru-RU"/>
              </w:rPr>
              <w:t>с</w:t>
            </w:r>
            <w:r w:rsidR="00DF53C9" w:rsidRPr="00A22A1A">
              <w:rPr>
                <w:sz w:val="22"/>
                <w:lang w:val="uk-UA" w:eastAsia="ru-RU"/>
              </w:rPr>
              <w:t>.</w:t>
            </w:r>
            <w:r w:rsidR="002C6001" w:rsidRPr="00A22A1A">
              <w:rPr>
                <w:sz w:val="22"/>
                <w:lang w:val="uk-UA" w:eastAsia="ru-RU"/>
              </w:rPr>
              <w:t>грн.</w:t>
            </w:r>
            <w:r w:rsidR="00DF53C9" w:rsidRPr="00A22A1A">
              <w:rPr>
                <w:sz w:val="22"/>
                <w:lang w:val="uk-UA" w:eastAsia="ru-RU"/>
              </w:rPr>
              <w:t>, витрати на</w:t>
            </w:r>
            <w:r w:rsidR="002C6001" w:rsidRPr="00A22A1A">
              <w:rPr>
                <w:sz w:val="22"/>
                <w:lang w:val="uk-UA" w:eastAsia="ru-RU"/>
              </w:rPr>
              <w:t xml:space="preserve"> оплату податку на прибуток – 54</w:t>
            </w:r>
            <w:r w:rsidR="00DF53C9" w:rsidRPr="00A22A1A">
              <w:rPr>
                <w:sz w:val="22"/>
                <w:lang w:val="uk-UA" w:eastAsia="ru-RU"/>
              </w:rPr>
              <w:t xml:space="preserve"> тис</w:t>
            </w:r>
            <w:r w:rsidRPr="00A22A1A">
              <w:rPr>
                <w:sz w:val="22"/>
                <w:lang w:val="uk-UA" w:eastAsia="ru-RU"/>
              </w:rPr>
              <w:t>. грн.</w:t>
            </w:r>
            <w:r w:rsidR="002C6001" w:rsidRPr="00A22A1A">
              <w:rPr>
                <w:sz w:val="22"/>
                <w:lang w:val="uk-UA" w:eastAsia="ru-RU"/>
              </w:rPr>
              <w:t>, витрачення на послуги – 16</w:t>
            </w:r>
            <w:r w:rsidR="00DF53C9" w:rsidRPr="00A22A1A">
              <w:rPr>
                <w:sz w:val="22"/>
                <w:lang w:val="uk-UA" w:eastAsia="ru-RU"/>
              </w:rPr>
              <w:t xml:space="preserve">2 тис. грн.. </w:t>
            </w:r>
            <w:r w:rsidRPr="00A22A1A">
              <w:rPr>
                <w:sz w:val="22"/>
                <w:lang w:val="uk-UA" w:eastAsia="ru-RU"/>
              </w:rPr>
              <w:t xml:space="preserve"> Чистий рух коштів від операційної</w:t>
            </w:r>
            <w:r w:rsidR="00DF53C9" w:rsidRPr="00A22A1A">
              <w:rPr>
                <w:sz w:val="22"/>
                <w:lang w:val="uk-UA" w:eastAsia="ru-RU"/>
              </w:rPr>
              <w:t xml:space="preserve"> </w:t>
            </w:r>
            <w:r w:rsidR="002C6001" w:rsidRPr="00A22A1A">
              <w:rPr>
                <w:sz w:val="22"/>
                <w:lang w:val="uk-UA" w:eastAsia="ru-RU"/>
              </w:rPr>
              <w:t>діяльності за звітний період: -44</w:t>
            </w:r>
            <w:r w:rsidRPr="00A22A1A">
              <w:rPr>
                <w:sz w:val="22"/>
                <w:lang w:val="uk-UA" w:eastAsia="ru-RU"/>
              </w:rPr>
              <w:t xml:space="preserve"> тис. грн..</w:t>
            </w:r>
          </w:p>
          <w:p w:rsidR="003717AB" w:rsidRPr="00602D77" w:rsidRDefault="003717AB" w:rsidP="004047BD">
            <w:pPr>
              <w:suppressAutoHyphens w:val="0"/>
              <w:autoSpaceDE w:val="0"/>
              <w:autoSpaceDN w:val="0"/>
              <w:adjustRightInd w:val="0"/>
              <w:jc w:val="both"/>
              <w:rPr>
                <w:sz w:val="22"/>
                <w:lang w:val="uk-UA" w:eastAsia="ru-RU"/>
              </w:rPr>
            </w:pPr>
            <w:r w:rsidRPr="00A22A1A">
              <w:rPr>
                <w:sz w:val="22"/>
                <w:lang w:val="uk-UA" w:eastAsia="ru-RU"/>
              </w:rPr>
              <w:t>Чистий рух коштів за звітний періо</w:t>
            </w:r>
            <w:r w:rsidR="002C6001" w:rsidRPr="00A22A1A">
              <w:rPr>
                <w:sz w:val="22"/>
                <w:lang w:val="uk-UA" w:eastAsia="ru-RU"/>
              </w:rPr>
              <w:t>д всього -44</w:t>
            </w:r>
            <w:r w:rsidRPr="00A22A1A">
              <w:rPr>
                <w:sz w:val="22"/>
                <w:lang w:val="uk-UA" w:eastAsia="ru-RU"/>
              </w:rPr>
              <w:t xml:space="preserve"> тис. грн.</w:t>
            </w:r>
            <w:r w:rsidR="00927D88" w:rsidRPr="00A22A1A">
              <w:rPr>
                <w:sz w:val="22"/>
                <w:lang w:val="uk-UA" w:eastAsia="ru-RU"/>
              </w:rPr>
              <w:t xml:space="preserve"> залишо</w:t>
            </w:r>
            <w:r w:rsidR="002C6001" w:rsidRPr="00A22A1A">
              <w:rPr>
                <w:sz w:val="22"/>
                <w:lang w:val="uk-UA" w:eastAsia="ru-RU"/>
              </w:rPr>
              <w:t>к коштів на початок періоду – 150 тис. грн.., на кінець – 106</w:t>
            </w:r>
            <w:r w:rsidR="00927D88" w:rsidRPr="00A22A1A">
              <w:rPr>
                <w:sz w:val="22"/>
                <w:lang w:val="uk-UA" w:eastAsia="ru-RU"/>
              </w:rPr>
              <w:t>тис. грн..</w:t>
            </w:r>
          </w:p>
          <w:p w:rsidR="003717AB" w:rsidRPr="00602D77" w:rsidRDefault="003717AB" w:rsidP="004047BD">
            <w:pPr>
              <w:suppressAutoHyphens w:val="0"/>
              <w:jc w:val="both"/>
              <w:rPr>
                <w:sz w:val="22"/>
                <w:lang w:val="uk-UA" w:eastAsia="ru-RU"/>
              </w:rPr>
            </w:pPr>
          </w:p>
          <w:p w:rsidR="007D7D07" w:rsidRPr="007D7D07" w:rsidRDefault="00357A2C" w:rsidP="007D7D07">
            <w:pPr>
              <w:shd w:val="clear" w:color="auto" w:fill="FFFFFF"/>
              <w:spacing w:before="120" w:after="120"/>
              <w:rPr>
                <w:b/>
                <w:bCs/>
                <w:i/>
                <w:spacing w:val="-2"/>
                <w:lang w:val="uk-UA" w:eastAsia="ru-RU"/>
              </w:rPr>
            </w:pPr>
            <w:r>
              <w:rPr>
                <w:b/>
                <w:iCs/>
                <w:color w:val="000000"/>
                <w:sz w:val="22"/>
                <w:lang w:val="uk-UA" w:eastAsia="uk-UA"/>
              </w:rPr>
              <w:t>5</w:t>
            </w:r>
            <w:r w:rsidR="00F71119">
              <w:rPr>
                <w:b/>
                <w:iCs/>
                <w:color w:val="000000"/>
                <w:sz w:val="22"/>
                <w:lang w:val="uk-UA" w:eastAsia="uk-UA"/>
              </w:rPr>
              <w:t>.4</w:t>
            </w:r>
            <w:r w:rsidR="003717AB" w:rsidRPr="00602D77">
              <w:rPr>
                <w:b/>
                <w:iCs/>
                <w:color w:val="000000"/>
                <w:sz w:val="22"/>
                <w:lang w:val="uk-UA" w:eastAsia="uk-UA"/>
              </w:rPr>
              <w:t>.</w:t>
            </w:r>
            <w:r w:rsidR="007D7D07" w:rsidRPr="007D7D07">
              <w:rPr>
                <w:b/>
                <w:bCs/>
                <w:i/>
                <w:spacing w:val="-2"/>
                <w:lang w:val="uk-UA" w:eastAsia="ru-RU"/>
              </w:rPr>
              <w:t xml:space="preserve"> Власний капітал </w:t>
            </w:r>
          </w:p>
          <w:p w:rsidR="007D7D07" w:rsidRPr="007D7D07" w:rsidRDefault="007D7D07" w:rsidP="007D7D07">
            <w:pPr>
              <w:jc w:val="both"/>
              <w:rPr>
                <w:lang w:val="uk-UA" w:eastAsia="ar-SA"/>
              </w:rPr>
            </w:pPr>
            <w:r w:rsidRPr="007D7D07">
              <w:rPr>
                <w:lang w:val="uk-UA" w:eastAsia="ar-SA"/>
              </w:rPr>
              <w:t>Компоненти власного капіталу за</w:t>
            </w:r>
            <w:r>
              <w:rPr>
                <w:lang w:val="uk-UA" w:eastAsia="ar-SA"/>
              </w:rPr>
              <w:t>2017</w:t>
            </w:r>
            <w:r w:rsidRPr="007D7D07">
              <w:rPr>
                <w:lang w:val="uk-UA" w:eastAsia="ar-SA"/>
              </w:rPr>
              <w:t xml:space="preserve"> рік, що закінчився 31 грудня, складають:</w:t>
            </w:r>
          </w:p>
          <w:tbl>
            <w:tblPr>
              <w:tblW w:w="9075" w:type="dxa"/>
              <w:tblInd w:w="40" w:type="dxa"/>
              <w:tblCellMar>
                <w:left w:w="40" w:type="dxa"/>
                <w:right w:w="40" w:type="dxa"/>
              </w:tblCellMar>
              <w:tblLook w:val="04A0" w:firstRow="1" w:lastRow="0" w:firstColumn="1" w:lastColumn="0" w:noHBand="0" w:noVBand="1"/>
            </w:tblPr>
            <w:tblGrid>
              <w:gridCol w:w="4112"/>
              <w:gridCol w:w="2553"/>
              <w:gridCol w:w="2410"/>
            </w:tblGrid>
            <w:tr w:rsidR="007D7D07" w:rsidRPr="007D7D07" w:rsidTr="007D7D07">
              <w:trPr>
                <w:trHeight w:hRule="exact" w:val="367"/>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D7D07" w:rsidRPr="007D7D07" w:rsidRDefault="007D7D07" w:rsidP="007D7D07">
                  <w:pPr>
                    <w:shd w:val="clear" w:color="auto" w:fill="FFFFFF"/>
                    <w:suppressAutoHyphens w:val="0"/>
                    <w:rPr>
                      <w:lang w:val="uk-UA"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7D7D07" w:rsidRPr="007D7D07" w:rsidRDefault="007D7D07" w:rsidP="007D7D07">
                  <w:pPr>
                    <w:shd w:val="clear" w:color="auto" w:fill="FFFFFF"/>
                    <w:suppressAutoHyphens w:val="0"/>
                    <w:ind w:left="110"/>
                    <w:jc w:val="center"/>
                    <w:rPr>
                      <w:lang w:val="uk-UA" w:eastAsia="ru-RU"/>
                    </w:rPr>
                  </w:pPr>
                  <w:r w:rsidRPr="007D7D07">
                    <w:rPr>
                      <w:lang w:val="uk-UA" w:eastAsia="ru-RU"/>
                    </w:rPr>
                    <w:t>На 31.12.2016</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7D7D07" w:rsidRPr="007D7D07" w:rsidRDefault="007D7D07" w:rsidP="007D7D07">
                  <w:pPr>
                    <w:shd w:val="clear" w:color="auto" w:fill="FFFFFF"/>
                    <w:suppressAutoHyphens w:val="0"/>
                    <w:jc w:val="center"/>
                    <w:rPr>
                      <w:lang w:val="uk-UA" w:eastAsia="ru-RU"/>
                    </w:rPr>
                  </w:pPr>
                  <w:r w:rsidRPr="007D7D07">
                    <w:rPr>
                      <w:lang w:val="uk-UA" w:eastAsia="ru-RU"/>
                    </w:rPr>
                    <w:t>На 31.12.2017</w:t>
                  </w:r>
                </w:p>
              </w:tc>
            </w:tr>
            <w:tr w:rsidR="007D7D07" w:rsidRPr="007D7D07" w:rsidTr="007D7D07">
              <w:trPr>
                <w:trHeight w:hRule="exact" w:val="307"/>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7D7D07" w:rsidRPr="007D7D07" w:rsidRDefault="007D7D07" w:rsidP="007D7D07">
                  <w:pPr>
                    <w:shd w:val="clear" w:color="auto" w:fill="FFFFFF"/>
                    <w:suppressAutoHyphens w:val="0"/>
                    <w:rPr>
                      <w:lang w:val="uk-UA" w:eastAsia="ru-RU"/>
                    </w:rPr>
                  </w:pPr>
                  <w:r w:rsidRPr="007D7D07">
                    <w:rPr>
                      <w:lang w:val="uk-UA" w:eastAsia="ar-SA"/>
                    </w:rPr>
                    <w:t>Зареєстрований капітал</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7D7D07" w:rsidRPr="007D7D07" w:rsidRDefault="007D7D07" w:rsidP="007D7D07">
                  <w:pPr>
                    <w:shd w:val="clear" w:color="auto" w:fill="FFFFFF"/>
                    <w:suppressAutoHyphens w:val="0"/>
                    <w:jc w:val="center"/>
                    <w:rPr>
                      <w:lang w:val="uk-UA" w:eastAsia="ru-RU"/>
                    </w:rPr>
                  </w:pPr>
                  <w:r w:rsidRPr="007D7D07">
                    <w:rPr>
                      <w:lang w:val="uk-UA" w:eastAsia="ru-RU"/>
                    </w:rPr>
                    <w:t>200</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7D7D07" w:rsidRPr="007D7D07" w:rsidRDefault="007D7D07" w:rsidP="007D7D07">
                  <w:pPr>
                    <w:shd w:val="clear" w:color="auto" w:fill="FFFFFF"/>
                    <w:suppressAutoHyphens w:val="0"/>
                    <w:jc w:val="center"/>
                    <w:rPr>
                      <w:lang w:val="uk-UA" w:eastAsia="ru-RU"/>
                    </w:rPr>
                  </w:pPr>
                  <w:r w:rsidRPr="007D7D07">
                    <w:rPr>
                      <w:lang w:val="uk-UA" w:eastAsia="ru-RU"/>
                    </w:rPr>
                    <w:t>200</w:t>
                  </w:r>
                </w:p>
              </w:tc>
            </w:tr>
            <w:tr w:rsidR="007D7D07" w:rsidRPr="007D7D07" w:rsidTr="007D7D07">
              <w:trPr>
                <w:trHeight w:hRule="exact" w:val="312"/>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7D7D07" w:rsidRPr="007D7D07" w:rsidRDefault="007D7D07" w:rsidP="007D7D07">
                  <w:pPr>
                    <w:shd w:val="clear" w:color="auto" w:fill="FFFFFF"/>
                    <w:suppressAutoHyphens w:val="0"/>
                    <w:rPr>
                      <w:spacing w:val="-4"/>
                      <w:lang w:val="uk-UA" w:eastAsia="ru-RU"/>
                    </w:rPr>
                  </w:pPr>
                  <w:r w:rsidRPr="007D7D07">
                    <w:rPr>
                      <w:spacing w:val="-4"/>
                      <w:lang w:val="uk-UA" w:eastAsia="ru-RU"/>
                    </w:rPr>
                    <w:t>Резервний капітал</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7D7D07" w:rsidRPr="007D7D07" w:rsidRDefault="007D7D07" w:rsidP="007D7D07">
                  <w:pPr>
                    <w:shd w:val="clear" w:color="auto" w:fill="FFFFFF"/>
                    <w:suppressAutoHyphens w:val="0"/>
                    <w:jc w:val="center"/>
                    <w:rPr>
                      <w:lang w:val="uk-UA" w:eastAsia="ru-RU"/>
                    </w:rPr>
                  </w:pPr>
                  <w:r w:rsidRPr="007D7D07">
                    <w:rPr>
                      <w:lang w:val="uk-UA" w:eastAsia="ru-RU"/>
                    </w:rPr>
                    <w:t>71</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7D7D07" w:rsidRPr="007D7D07" w:rsidRDefault="007D7D07" w:rsidP="007D7D07">
                  <w:pPr>
                    <w:shd w:val="clear" w:color="auto" w:fill="FFFFFF"/>
                    <w:suppressAutoHyphens w:val="0"/>
                    <w:jc w:val="center"/>
                    <w:rPr>
                      <w:lang w:val="uk-UA" w:eastAsia="ru-RU"/>
                    </w:rPr>
                  </w:pPr>
                  <w:r w:rsidRPr="007D7D07">
                    <w:rPr>
                      <w:lang w:val="uk-UA" w:eastAsia="ru-RU"/>
                    </w:rPr>
                    <w:t>83</w:t>
                  </w:r>
                </w:p>
              </w:tc>
            </w:tr>
            <w:tr w:rsidR="007D7D07" w:rsidRPr="007D7D07" w:rsidTr="007D7D07">
              <w:trPr>
                <w:trHeight w:hRule="exact" w:val="312"/>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7D7D07" w:rsidRPr="007D7D07" w:rsidRDefault="007D7D07" w:rsidP="007D7D07">
                  <w:pPr>
                    <w:shd w:val="clear" w:color="auto" w:fill="FFFFFF"/>
                    <w:suppressAutoHyphens w:val="0"/>
                    <w:rPr>
                      <w:spacing w:val="-4"/>
                      <w:lang w:val="uk-UA" w:eastAsia="ru-RU"/>
                    </w:rPr>
                  </w:pPr>
                  <w:r w:rsidRPr="007D7D07">
                    <w:rPr>
                      <w:spacing w:val="-4"/>
                      <w:lang w:val="uk-UA" w:eastAsia="ru-RU"/>
                    </w:rPr>
                    <w:t>Нерозподілений прибуток</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7D7D07" w:rsidRPr="007D7D07" w:rsidRDefault="007D7D07" w:rsidP="007D7D07">
                  <w:pPr>
                    <w:shd w:val="clear" w:color="auto" w:fill="FFFFFF"/>
                    <w:suppressAutoHyphens w:val="0"/>
                    <w:jc w:val="center"/>
                    <w:rPr>
                      <w:lang w:val="uk-UA" w:eastAsia="ru-RU"/>
                    </w:rPr>
                  </w:pPr>
                  <w:r w:rsidRPr="007D7D07">
                    <w:rPr>
                      <w:lang w:val="uk-UA" w:eastAsia="ru-RU"/>
                    </w:rPr>
                    <w:t>816</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7D7D07" w:rsidRPr="007D7D07" w:rsidRDefault="007D7D07" w:rsidP="007D7D07">
                  <w:pPr>
                    <w:shd w:val="clear" w:color="auto" w:fill="FFFFFF"/>
                    <w:suppressAutoHyphens w:val="0"/>
                    <w:jc w:val="center"/>
                    <w:rPr>
                      <w:lang w:val="uk-UA" w:eastAsia="ru-RU"/>
                    </w:rPr>
                  </w:pPr>
                  <w:r w:rsidRPr="007D7D07">
                    <w:rPr>
                      <w:lang w:val="uk-UA" w:eastAsia="ru-RU"/>
                    </w:rPr>
                    <w:t>1048</w:t>
                  </w:r>
                </w:p>
              </w:tc>
            </w:tr>
            <w:tr w:rsidR="007D7D07" w:rsidRPr="007D7D07" w:rsidTr="007D7D07">
              <w:trPr>
                <w:trHeight w:hRule="exact" w:val="326"/>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7D7D07" w:rsidRPr="007D7D07" w:rsidRDefault="007D7D07" w:rsidP="007D7D07">
                  <w:pPr>
                    <w:shd w:val="clear" w:color="auto" w:fill="FFFFFF"/>
                    <w:suppressAutoHyphens w:val="0"/>
                    <w:rPr>
                      <w:lang w:val="uk-UA" w:eastAsia="ru-RU"/>
                    </w:rPr>
                  </w:pPr>
                  <w:r w:rsidRPr="007D7D07">
                    <w:rPr>
                      <w:lang w:val="uk-UA" w:eastAsia="ru-RU"/>
                    </w:rPr>
                    <w:t>Неоплачений капітал </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7D7D07" w:rsidRPr="007D7D07" w:rsidRDefault="007D7D07" w:rsidP="007D7D07">
                  <w:pPr>
                    <w:shd w:val="clear" w:color="auto" w:fill="FFFFFF"/>
                    <w:suppressAutoHyphens w:val="0"/>
                    <w:jc w:val="center"/>
                    <w:rPr>
                      <w:lang w:val="uk-UA" w:eastAsia="ru-RU"/>
                    </w:rPr>
                  </w:pPr>
                  <w:r w:rsidRPr="007D7D07">
                    <w:rPr>
                      <w:lang w:val="uk-UA" w:eastAsia="ru-RU"/>
                    </w:rPr>
                    <w:t>-</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7D7D07" w:rsidRPr="007D7D07" w:rsidRDefault="007D7D07" w:rsidP="007D7D07">
                  <w:pPr>
                    <w:shd w:val="clear" w:color="auto" w:fill="FFFFFF"/>
                    <w:suppressAutoHyphens w:val="0"/>
                    <w:jc w:val="center"/>
                    <w:rPr>
                      <w:lang w:val="uk-UA" w:eastAsia="ru-RU"/>
                    </w:rPr>
                  </w:pPr>
                  <w:r w:rsidRPr="007D7D07">
                    <w:rPr>
                      <w:lang w:val="uk-UA" w:eastAsia="ru-RU"/>
                    </w:rPr>
                    <w:t>-</w:t>
                  </w:r>
                </w:p>
              </w:tc>
            </w:tr>
            <w:tr w:rsidR="007D7D07" w:rsidRPr="007D7D07" w:rsidTr="007D7D07">
              <w:trPr>
                <w:trHeight w:hRule="exact" w:val="326"/>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7D7D07" w:rsidRPr="007D7D07" w:rsidRDefault="007D7D07" w:rsidP="007D7D07">
                  <w:pPr>
                    <w:shd w:val="clear" w:color="auto" w:fill="FFFFFF"/>
                    <w:suppressAutoHyphens w:val="0"/>
                    <w:rPr>
                      <w:b/>
                      <w:lang w:val="uk-UA" w:eastAsia="ru-RU"/>
                    </w:rPr>
                  </w:pPr>
                  <w:r w:rsidRPr="007D7D07">
                    <w:rPr>
                      <w:b/>
                      <w:lang w:val="uk-UA" w:eastAsia="ru-RU"/>
                    </w:rPr>
                    <w:t>Всього</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7D7D07" w:rsidRPr="007D7D07" w:rsidRDefault="007D7D07" w:rsidP="007D7D07">
                  <w:pPr>
                    <w:shd w:val="clear" w:color="auto" w:fill="FFFFFF"/>
                    <w:suppressAutoHyphens w:val="0"/>
                    <w:jc w:val="center"/>
                    <w:rPr>
                      <w:b/>
                      <w:lang w:val="uk-UA" w:eastAsia="ru-RU"/>
                    </w:rPr>
                  </w:pPr>
                  <w:r w:rsidRPr="007D7D07">
                    <w:rPr>
                      <w:b/>
                      <w:lang w:val="uk-UA" w:eastAsia="ru-RU"/>
                    </w:rPr>
                    <w:t>1087</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7D7D07" w:rsidRPr="007D7D07" w:rsidRDefault="007D7D07" w:rsidP="007D7D07">
                  <w:pPr>
                    <w:shd w:val="clear" w:color="auto" w:fill="FFFFFF"/>
                    <w:suppressAutoHyphens w:val="0"/>
                    <w:jc w:val="center"/>
                    <w:rPr>
                      <w:b/>
                      <w:lang w:val="uk-UA" w:eastAsia="ru-RU"/>
                    </w:rPr>
                  </w:pPr>
                  <w:r w:rsidRPr="007D7D07">
                    <w:rPr>
                      <w:b/>
                      <w:lang w:val="uk-UA" w:eastAsia="ru-RU"/>
                    </w:rPr>
                    <w:t>1331</w:t>
                  </w:r>
                </w:p>
              </w:tc>
            </w:tr>
          </w:tbl>
          <w:p w:rsidR="007D7D07" w:rsidRPr="007D7D07" w:rsidRDefault="007D7D07" w:rsidP="007D7D07">
            <w:pPr>
              <w:suppressAutoHyphens w:val="0"/>
              <w:ind w:firstLine="900"/>
              <w:rPr>
                <w:i/>
                <w:iCs/>
                <w:color w:val="000000"/>
                <w:lang w:val="uk-UA" w:eastAsia="ru-RU"/>
              </w:rPr>
            </w:pPr>
          </w:p>
          <w:p w:rsidR="00AF0073" w:rsidRDefault="00AF0073" w:rsidP="004047BD">
            <w:pPr>
              <w:suppressAutoHyphens w:val="0"/>
              <w:spacing w:line="276" w:lineRule="auto"/>
              <w:ind w:hanging="93"/>
              <w:contextualSpacing/>
              <w:jc w:val="both"/>
              <w:rPr>
                <w:b/>
                <w:iCs/>
                <w:color w:val="000000"/>
                <w:sz w:val="22"/>
                <w:lang w:val="uk-UA" w:eastAsia="uk-UA"/>
              </w:rPr>
            </w:pPr>
          </w:p>
          <w:p w:rsidR="003717AB" w:rsidRPr="00602D77" w:rsidRDefault="003717AB" w:rsidP="004047BD">
            <w:pPr>
              <w:suppressAutoHyphens w:val="0"/>
              <w:spacing w:line="276" w:lineRule="auto"/>
              <w:ind w:hanging="93"/>
              <w:contextualSpacing/>
              <w:jc w:val="both"/>
              <w:rPr>
                <w:b/>
                <w:iCs/>
                <w:color w:val="000000"/>
                <w:sz w:val="22"/>
                <w:lang w:val="uk-UA" w:eastAsia="uk-UA"/>
              </w:rPr>
            </w:pPr>
            <w:r w:rsidRPr="00602D77">
              <w:rPr>
                <w:b/>
                <w:iCs/>
                <w:color w:val="000000"/>
                <w:sz w:val="22"/>
                <w:lang w:val="uk-UA" w:eastAsia="uk-UA"/>
              </w:rPr>
              <w:t>Статутний капітал Товариства</w:t>
            </w:r>
          </w:p>
          <w:p w:rsidR="00602D77" w:rsidRPr="00602D77" w:rsidRDefault="00602D77" w:rsidP="00602D77">
            <w:pPr>
              <w:suppressAutoHyphens w:val="0"/>
              <w:spacing w:after="120"/>
              <w:rPr>
                <w:rFonts w:eastAsia="Calibri"/>
                <w:b/>
                <w:bCs/>
                <w:i/>
                <w:sz w:val="22"/>
                <w:szCs w:val="22"/>
                <w:lang w:val="uk-UA" w:eastAsia="en-US"/>
              </w:rPr>
            </w:pPr>
            <w:r w:rsidRPr="00602D77">
              <w:rPr>
                <w:rFonts w:eastAsia="Calibri"/>
                <w:bCs/>
                <w:sz w:val="22"/>
                <w:szCs w:val="22"/>
                <w:lang w:val="uk-UA" w:eastAsia="en-US"/>
              </w:rPr>
              <w:t>Усього статутний капітал ” ПОВНОГО ТОВАРИСТВА « ЛОМБАРД» ОНІКС ПЛЮС» ЧЕРНИК І КОМПАНІЯ» складає 200000 грн. (Двісті тисяч гривень). Фактично внесено до статутного капіталу 200 тис. грн</w:t>
            </w:r>
            <w:r w:rsidRPr="00602D77">
              <w:rPr>
                <w:rFonts w:eastAsia="Calibri"/>
                <w:b/>
                <w:bCs/>
                <w:i/>
                <w:sz w:val="22"/>
                <w:szCs w:val="22"/>
                <w:lang w:val="uk-UA" w:eastAsia="en-US"/>
              </w:rPr>
              <w:t>.</w:t>
            </w:r>
          </w:p>
          <w:p w:rsidR="00602D77" w:rsidRPr="00602D77" w:rsidRDefault="00602D77" w:rsidP="00602D77">
            <w:pPr>
              <w:suppressAutoHyphens w:val="0"/>
              <w:spacing w:after="120"/>
              <w:rPr>
                <w:rFonts w:eastAsia="Calibri"/>
                <w:sz w:val="22"/>
                <w:szCs w:val="22"/>
                <w:lang w:val="uk-UA" w:eastAsia="en-US"/>
              </w:rPr>
            </w:pPr>
            <w:r w:rsidRPr="00602D77">
              <w:rPr>
                <w:rFonts w:eastAsia="Calibri"/>
                <w:sz w:val="22"/>
                <w:szCs w:val="22"/>
                <w:lang w:val="uk-UA" w:eastAsia="en-US"/>
              </w:rPr>
              <w:t>. Частки розподіляються наступним чином:</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1"/>
              <w:gridCol w:w="1843"/>
              <w:gridCol w:w="2409"/>
              <w:gridCol w:w="1525"/>
            </w:tblGrid>
            <w:tr w:rsidR="00602D77" w:rsidRPr="00602D77" w:rsidTr="006A3E59">
              <w:trPr>
                <w:trHeight w:val="300"/>
              </w:trPr>
              <w:tc>
                <w:tcPr>
                  <w:tcW w:w="3701" w:type="dxa"/>
                  <w:noWrap/>
                  <w:vAlign w:val="bottom"/>
                </w:tcPr>
                <w:p w:rsidR="00602D77" w:rsidRPr="00602D77" w:rsidRDefault="00602D77" w:rsidP="00602D77">
                  <w:pPr>
                    <w:suppressAutoHyphens w:val="0"/>
                    <w:rPr>
                      <w:rFonts w:eastAsia="Calibri"/>
                      <w:sz w:val="22"/>
                      <w:lang w:val="uk-UA" w:eastAsia="ru-RU"/>
                    </w:rPr>
                  </w:pPr>
                  <w:r w:rsidRPr="00602D77">
                    <w:rPr>
                      <w:rFonts w:eastAsia="Calibri"/>
                      <w:sz w:val="22"/>
                      <w:lang w:val="uk-UA" w:eastAsia="ru-RU"/>
                    </w:rPr>
                    <w:t>Учасники:</w:t>
                  </w:r>
                </w:p>
              </w:tc>
              <w:tc>
                <w:tcPr>
                  <w:tcW w:w="1843" w:type="dxa"/>
                  <w:noWrap/>
                  <w:vAlign w:val="bottom"/>
                </w:tcPr>
                <w:p w:rsidR="00602D77" w:rsidRPr="00602D77" w:rsidRDefault="00602D77" w:rsidP="00602D77">
                  <w:pPr>
                    <w:suppressAutoHyphens w:val="0"/>
                    <w:jc w:val="center"/>
                    <w:rPr>
                      <w:rFonts w:eastAsia="Calibri"/>
                      <w:sz w:val="22"/>
                      <w:lang w:val="uk-UA" w:eastAsia="ru-RU"/>
                    </w:rPr>
                  </w:pPr>
                  <w:r w:rsidRPr="00602D77">
                    <w:rPr>
                      <w:rFonts w:eastAsia="Calibri"/>
                      <w:sz w:val="22"/>
                      <w:lang w:val="uk-UA" w:eastAsia="ru-RU"/>
                    </w:rPr>
                    <w:t>Сума внеску в тис. грн.</w:t>
                  </w:r>
                </w:p>
              </w:tc>
              <w:tc>
                <w:tcPr>
                  <w:tcW w:w="2409" w:type="dxa"/>
                  <w:noWrap/>
                  <w:vAlign w:val="bottom"/>
                </w:tcPr>
                <w:p w:rsidR="00602D77" w:rsidRPr="00602D77" w:rsidRDefault="00602D77" w:rsidP="00602D77">
                  <w:pPr>
                    <w:tabs>
                      <w:tab w:val="left" w:pos="459"/>
                    </w:tabs>
                    <w:suppressAutoHyphens w:val="0"/>
                    <w:jc w:val="center"/>
                    <w:rPr>
                      <w:rFonts w:eastAsia="Calibri"/>
                      <w:sz w:val="22"/>
                      <w:lang w:val="uk-UA" w:eastAsia="ru-RU"/>
                    </w:rPr>
                  </w:pPr>
                  <w:r w:rsidRPr="00602D77">
                    <w:rPr>
                      <w:rFonts w:eastAsia="Calibri"/>
                      <w:sz w:val="22"/>
                      <w:lang w:val="uk-UA" w:eastAsia="ru-RU"/>
                    </w:rPr>
                    <w:t>Розмір % статного капіталу</w:t>
                  </w:r>
                </w:p>
              </w:tc>
              <w:tc>
                <w:tcPr>
                  <w:tcW w:w="1525" w:type="dxa"/>
                </w:tcPr>
                <w:p w:rsidR="00602D77" w:rsidRPr="00602D77" w:rsidRDefault="00602D77" w:rsidP="00602D77">
                  <w:pPr>
                    <w:tabs>
                      <w:tab w:val="left" w:pos="459"/>
                    </w:tabs>
                    <w:suppressAutoHyphens w:val="0"/>
                    <w:jc w:val="center"/>
                    <w:rPr>
                      <w:rFonts w:eastAsia="Calibri"/>
                      <w:sz w:val="22"/>
                      <w:lang w:val="uk-UA" w:eastAsia="ru-RU"/>
                    </w:rPr>
                  </w:pPr>
                  <w:r w:rsidRPr="00602D77">
                    <w:rPr>
                      <w:rFonts w:eastAsia="Calibri"/>
                      <w:sz w:val="22"/>
                      <w:lang w:val="uk-UA" w:eastAsia="ru-RU"/>
                    </w:rPr>
                    <w:t>Структура внеску</w:t>
                  </w:r>
                </w:p>
              </w:tc>
            </w:tr>
            <w:tr w:rsidR="00602D77" w:rsidRPr="00602D77" w:rsidTr="006A3E59">
              <w:trPr>
                <w:trHeight w:val="186"/>
              </w:trPr>
              <w:tc>
                <w:tcPr>
                  <w:tcW w:w="3701" w:type="dxa"/>
                  <w:noWrap/>
                  <w:vAlign w:val="bottom"/>
                </w:tcPr>
                <w:p w:rsidR="00602D77" w:rsidRPr="00602D77" w:rsidRDefault="00602D77" w:rsidP="00602D77">
                  <w:pPr>
                    <w:suppressAutoHyphens w:val="0"/>
                    <w:rPr>
                      <w:rFonts w:eastAsia="Calibri"/>
                      <w:sz w:val="22"/>
                      <w:lang w:val="uk-UA" w:eastAsia="ru-RU"/>
                    </w:rPr>
                  </w:pPr>
                  <w:r w:rsidRPr="00602D77">
                    <w:rPr>
                      <w:rFonts w:eastAsia="Calibri"/>
                      <w:bCs/>
                      <w:sz w:val="22"/>
                      <w:szCs w:val="22"/>
                      <w:lang w:val="uk-UA" w:eastAsia="en-US"/>
                    </w:rPr>
                    <w:t>Черник Роман Леонідович</w:t>
                  </w:r>
                </w:p>
              </w:tc>
              <w:tc>
                <w:tcPr>
                  <w:tcW w:w="1843" w:type="dxa"/>
                  <w:noWrap/>
                  <w:vAlign w:val="bottom"/>
                </w:tcPr>
                <w:p w:rsidR="00602D77" w:rsidRPr="00602D77" w:rsidRDefault="00602D77" w:rsidP="00602D77">
                  <w:pPr>
                    <w:suppressAutoHyphens w:val="0"/>
                    <w:jc w:val="center"/>
                    <w:rPr>
                      <w:rFonts w:eastAsia="Calibri"/>
                      <w:sz w:val="22"/>
                      <w:lang w:val="uk-UA" w:eastAsia="ru-RU"/>
                    </w:rPr>
                  </w:pPr>
                  <w:r w:rsidRPr="00602D77">
                    <w:rPr>
                      <w:rFonts w:eastAsia="Calibri"/>
                      <w:sz w:val="22"/>
                      <w:lang w:val="uk-UA" w:eastAsia="ru-RU"/>
                    </w:rPr>
                    <w:t>100</w:t>
                  </w:r>
                </w:p>
              </w:tc>
              <w:tc>
                <w:tcPr>
                  <w:tcW w:w="2409" w:type="dxa"/>
                  <w:noWrap/>
                  <w:vAlign w:val="bottom"/>
                </w:tcPr>
                <w:p w:rsidR="00602D77" w:rsidRPr="00602D77" w:rsidRDefault="00602D77" w:rsidP="00602D77">
                  <w:pPr>
                    <w:tabs>
                      <w:tab w:val="left" w:pos="459"/>
                    </w:tabs>
                    <w:suppressAutoHyphens w:val="0"/>
                    <w:rPr>
                      <w:rFonts w:eastAsia="Calibri"/>
                      <w:sz w:val="22"/>
                      <w:lang w:val="uk-UA" w:eastAsia="ru-RU"/>
                    </w:rPr>
                  </w:pPr>
                  <w:r w:rsidRPr="00602D77">
                    <w:rPr>
                      <w:rFonts w:eastAsia="Calibri"/>
                      <w:sz w:val="22"/>
                      <w:lang w:val="uk-UA" w:eastAsia="ru-RU"/>
                    </w:rPr>
                    <w:t xml:space="preserve">              50,0</w:t>
                  </w:r>
                </w:p>
              </w:tc>
              <w:tc>
                <w:tcPr>
                  <w:tcW w:w="1525" w:type="dxa"/>
                </w:tcPr>
                <w:p w:rsidR="00602D77" w:rsidRPr="00602D77" w:rsidRDefault="00602D77" w:rsidP="00602D77">
                  <w:pPr>
                    <w:tabs>
                      <w:tab w:val="left" w:pos="459"/>
                    </w:tabs>
                    <w:suppressAutoHyphens w:val="0"/>
                    <w:jc w:val="center"/>
                    <w:rPr>
                      <w:rFonts w:eastAsia="Calibri"/>
                      <w:sz w:val="22"/>
                      <w:lang w:val="uk-UA" w:eastAsia="ru-RU"/>
                    </w:rPr>
                  </w:pPr>
                  <w:r w:rsidRPr="00602D77">
                    <w:rPr>
                      <w:rFonts w:eastAsia="Calibri"/>
                      <w:sz w:val="22"/>
                      <w:lang w:val="uk-UA" w:eastAsia="ru-RU"/>
                    </w:rPr>
                    <w:t>грошима</w:t>
                  </w:r>
                </w:p>
              </w:tc>
            </w:tr>
            <w:tr w:rsidR="00602D77" w:rsidRPr="00602D77" w:rsidTr="006A3E59">
              <w:trPr>
                <w:trHeight w:val="90"/>
              </w:trPr>
              <w:tc>
                <w:tcPr>
                  <w:tcW w:w="3701" w:type="dxa"/>
                  <w:noWrap/>
                  <w:vAlign w:val="bottom"/>
                </w:tcPr>
                <w:p w:rsidR="00602D77" w:rsidRPr="00602D77" w:rsidRDefault="00602D77" w:rsidP="00602D77">
                  <w:pPr>
                    <w:suppressAutoHyphens w:val="0"/>
                    <w:rPr>
                      <w:rFonts w:eastAsia="Calibri"/>
                      <w:sz w:val="22"/>
                      <w:lang w:val="uk-UA" w:eastAsia="ru-RU"/>
                    </w:rPr>
                  </w:pPr>
                  <w:r w:rsidRPr="00602D77">
                    <w:rPr>
                      <w:rFonts w:eastAsia="Calibri"/>
                      <w:sz w:val="22"/>
                      <w:lang w:val="uk-UA" w:eastAsia="ru-RU"/>
                    </w:rPr>
                    <w:t xml:space="preserve">Черник Вікторія Володимирівна  </w:t>
                  </w:r>
                </w:p>
              </w:tc>
              <w:tc>
                <w:tcPr>
                  <w:tcW w:w="1843" w:type="dxa"/>
                  <w:noWrap/>
                  <w:vAlign w:val="bottom"/>
                </w:tcPr>
                <w:p w:rsidR="00602D77" w:rsidRPr="00602D77" w:rsidRDefault="00602D77" w:rsidP="00602D77">
                  <w:pPr>
                    <w:suppressAutoHyphens w:val="0"/>
                    <w:jc w:val="center"/>
                    <w:rPr>
                      <w:rFonts w:eastAsia="Calibri"/>
                      <w:sz w:val="22"/>
                      <w:lang w:val="uk-UA" w:eastAsia="ru-RU"/>
                    </w:rPr>
                  </w:pPr>
                  <w:r w:rsidRPr="00602D77">
                    <w:rPr>
                      <w:rFonts w:eastAsia="Calibri"/>
                      <w:sz w:val="22"/>
                      <w:lang w:val="uk-UA" w:eastAsia="ru-RU"/>
                    </w:rPr>
                    <w:t>100</w:t>
                  </w:r>
                </w:p>
              </w:tc>
              <w:tc>
                <w:tcPr>
                  <w:tcW w:w="2409" w:type="dxa"/>
                  <w:noWrap/>
                  <w:vAlign w:val="bottom"/>
                </w:tcPr>
                <w:p w:rsidR="00602D77" w:rsidRPr="00602D77" w:rsidRDefault="00602D77" w:rsidP="00602D77">
                  <w:pPr>
                    <w:tabs>
                      <w:tab w:val="left" w:pos="459"/>
                    </w:tabs>
                    <w:suppressAutoHyphens w:val="0"/>
                    <w:ind w:left="-108"/>
                    <w:jc w:val="center"/>
                    <w:rPr>
                      <w:rFonts w:eastAsia="Calibri"/>
                      <w:sz w:val="22"/>
                      <w:lang w:val="uk-UA" w:eastAsia="ru-RU"/>
                    </w:rPr>
                  </w:pPr>
                  <w:r w:rsidRPr="00602D77">
                    <w:rPr>
                      <w:rFonts w:eastAsia="Calibri"/>
                      <w:sz w:val="22"/>
                      <w:lang w:val="uk-UA" w:eastAsia="ru-RU"/>
                    </w:rPr>
                    <w:t>50,0</w:t>
                  </w:r>
                </w:p>
              </w:tc>
              <w:tc>
                <w:tcPr>
                  <w:tcW w:w="1525" w:type="dxa"/>
                </w:tcPr>
                <w:p w:rsidR="00602D77" w:rsidRPr="00602D77" w:rsidRDefault="00602D77" w:rsidP="00602D77">
                  <w:pPr>
                    <w:tabs>
                      <w:tab w:val="left" w:pos="459"/>
                    </w:tabs>
                    <w:suppressAutoHyphens w:val="0"/>
                    <w:ind w:left="-108"/>
                    <w:jc w:val="center"/>
                    <w:rPr>
                      <w:rFonts w:eastAsia="Calibri"/>
                      <w:sz w:val="22"/>
                      <w:lang w:val="uk-UA" w:eastAsia="ru-RU"/>
                    </w:rPr>
                  </w:pPr>
                  <w:r w:rsidRPr="00602D77">
                    <w:rPr>
                      <w:rFonts w:eastAsia="Calibri"/>
                      <w:sz w:val="22"/>
                      <w:lang w:val="uk-UA" w:eastAsia="ru-RU"/>
                    </w:rPr>
                    <w:t>грошима</w:t>
                  </w:r>
                </w:p>
              </w:tc>
            </w:tr>
          </w:tbl>
          <w:p w:rsidR="003717AB" w:rsidRPr="00602D77" w:rsidRDefault="003717AB" w:rsidP="00602D77">
            <w:pPr>
              <w:suppressAutoHyphens w:val="0"/>
              <w:contextualSpacing/>
              <w:jc w:val="both"/>
              <w:rPr>
                <w:iCs/>
                <w:color w:val="000000"/>
                <w:sz w:val="22"/>
                <w:lang w:val="uk-UA" w:eastAsia="uk-UA"/>
              </w:rPr>
            </w:pPr>
          </w:p>
          <w:p w:rsidR="003717AB" w:rsidRPr="00602D77" w:rsidRDefault="003717AB" w:rsidP="004047BD">
            <w:pPr>
              <w:suppressAutoHyphens w:val="0"/>
              <w:ind w:left="360"/>
              <w:contextualSpacing/>
              <w:jc w:val="both"/>
              <w:rPr>
                <w:iCs/>
                <w:color w:val="000000"/>
                <w:sz w:val="22"/>
                <w:lang w:eastAsia="uk-UA"/>
              </w:rPr>
            </w:pPr>
          </w:p>
          <w:p w:rsidR="003717AB" w:rsidRPr="00602D77" w:rsidRDefault="00357A2C" w:rsidP="004047BD">
            <w:pPr>
              <w:suppressAutoHyphens w:val="0"/>
              <w:spacing w:after="120"/>
              <w:jc w:val="both"/>
              <w:rPr>
                <w:rFonts w:eastAsia="Calibri"/>
                <w:b/>
                <w:sz w:val="22"/>
                <w:lang w:val="uk-UA" w:eastAsia="en-US"/>
              </w:rPr>
            </w:pPr>
            <w:r>
              <w:rPr>
                <w:rFonts w:eastAsia="Calibri"/>
                <w:b/>
                <w:sz w:val="22"/>
                <w:lang w:val="uk-UA" w:eastAsia="en-US"/>
              </w:rPr>
              <w:t>5</w:t>
            </w:r>
            <w:r w:rsidR="00F71119">
              <w:rPr>
                <w:rFonts w:eastAsia="Calibri"/>
                <w:b/>
                <w:sz w:val="22"/>
                <w:lang w:val="uk-UA" w:eastAsia="en-US"/>
              </w:rPr>
              <w:t>.5</w:t>
            </w:r>
            <w:r w:rsidR="003717AB" w:rsidRPr="00602D77">
              <w:rPr>
                <w:rFonts w:eastAsia="Calibri"/>
                <w:b/>
                <w:sz w:val="22"/>
                <w:lang w:val="uk-UA" w:eastAsia="en-US"/>
              </w:rPr>
              <w:t>. Резервний капітал</w:t>
            </w:r>
          </w:p>
          <w:p w:rsidR="003717AB" w:rsidRPr="00602D77" w:rsidRDefault="00C068EB" w:rsidP="004047BD">
            <w:pPr>
              <w:suppressAutoHyphens w:val="0"/>
              <w:autoSpaceDE w:val="0"/>
              <w:autoSpaceDN w:val="0"/>
              <w:adjustRightInd w:val="0"/>
              <w:jc w:val="both"/>
              <w:rPr>
                <w:rFonts w:eastAsia="Calibri"/>
                <w:sz w:val="22"/>
                <w:lang w:val="uk-UA" w:eastAsia="en-US"/>
              </w:rPr>
            </w:pPr>
            <w:r>
              <w:rPr>
                <w:rFonts w:eastAsia="Calibri"/>
                <w:sz w:val="22"/>
                <w:lang w:val="uk-UA" w:eastAsia="en-US"/>
              </w:rPr>
              <w:t>Р</w:t>
            </w:r>
            <w:r w:rsidR="003717AB" w:rsidRPr="00602D77">
              <w:rPr>
                <w:rFonts w:eastAsia="Calibri"/>
                <w:sz w:val="22"/>
                <w:lang w:val="uk-UA" w:eastAsia="en-US"/>
              </w:rPr>
              <w:t>езервний капітал</w:t>
            </w:r>
            <w:r>
              <w:rPr>
                <w:rFonts w:eastAsia="Calibri"/>
                <w:sz w:val="22"/>
                <w:lang w:val="uk-UA" w:eastAsia="en-US"/>
              </w:rPr>
              <w:t xml:space="preserve"> на початок періоду  </w:t>
            </w:r>
            <w:r w:rsidRPr="00EA59DD">
              <w:rPr>
                <w:rFonts w:eastAsia="Calibri"/>
                <w:sz w:val="22"/>
                <w:lang w:val="uk-UA" w:eastAsia="en-US"/>
              </w:rPr>
              <w:t xml:space="preserve">складав </w:t>
            </w:r>
            <w:r w:rsidR="00EA59DD" w:rsidRPr="00EA59DD">
              <w:rPr>
                <w:rFonts w:eastAsia="Calibri"/>
                <w:sz w:val="22"/>
                <w:lang w:val="uk-UA" w:eastAsia="en-US"/>
              </w:rPr>
              <w:t>71</w:t>
            </w:r>
            <w:r w:rsidR="003717AB" w:rsidRPr="00EA59DD">
              <w:rPr>
                <w:rFonts w:eastAsia="Calibri"/>
                <w:sz w:val="22"/>
                <w:lang w:val="uk-UA" w:eastAsia="en-US"/>
              </w:rPr>
              <w:t>,0 тис. грн.</w:t>
            </w:r>
            <w:r w:rsidRPr="00EA59DD">
              <w:rPr>
                <w:rFonts w:eastAsia="Calibri"/>
                <w:sz w:val="22"/>
                <w:lang w:val="uk-UA" w:eastAsia="en-US"/>
              </w:rPr>
              <w:t>,</w:t>
            </w:r>
            <w:r w:rsidR="003717AB" w:rsidRPr="00EA59DD">
              <w:rPr>
                <w:rFonts w:eastAsia="Calibri"/>
                <w:sz w:val="22"/>
                <w:lang w:val="uk-UA" w:eastAsia="en-US"/>
              </w:rPr>
              <w:t xml:space="preserve"> </w:t>
            </w:r>
            <w:r w:rsidR="00EA59DD" w:rsidRPr="00EA59DD">
              <w:rPr>
                <w:rFonts w:eastAsia="Calibri"/>
                <w:sz w:val="22"/>
                <w:lang w:val="uk-UA" w:eastAsia="en-US"/>
              </w:rPr>
              <w:t>а на кінець – 83</w:t>
            </w:r>
            <w:r w:rsidRPr="00EA59DD">
              <w:rPr>
                <w:rFonts w:eastAsia="Calibri"/>
                <w:sz w:val="22"/>
                <w:lang w:val="uk-UA" w:eastAsia="en-US"/>
              </w:rPr>
              <w:t xml:space="preserve"> тис. грн..</w:t>
            </w:r>
          </w:p>
          <w:p w:rsidR="003717AB" w:rsidRPr="00602D77" w:rsidRDefault="003717AB" w:rsidP="004047BD">
            <w:pPr>
              <w:suppressAutoHyphens w:val="0"/>
              <w:ind w:left="360"/>
              <w:contextualSpacing/>
              <w:jc w:val="both"/>
              <w:rPr>
                <w:iCs/>
                <w:color w:val="000000"/>
                <w:sz w:val="22"/>
                <w:lang w:eastAsia="uk-UA"/>
              </w:rPr>
            </w:pPr>
          </w:p>
          <w:p w:rsidR="003717AB" w:rsidRPr="00602D77" w:rsidRDefault="003717AB" w:rsidP="004047BD">
            <w:pPr>
              <w:suppressAutoHyphens w:val="0"/>
              <w:spacing w:after="60"/>
              <w:ind w:left="284"/>
              <w:jc w:val="both"/>
              <w:outlineLvl w:val="1"/>
              <w:rPr>
                <w:rFonts w:ascii="Cambria" w:hAnsi="Cambria"/>
                <w:b/>
                <w:sz w:val="22"/>
                <w:lang w:val="uk-UA" w:eastAsia="ru-RU"/>
              </w:rPr>
            </w:pPr>
            <w:r w:rsidRPr="00602D77">
              <w:rPr>
                <w:rFonts w:ascii="Cambria" w:hAnsi="Cambria"/>
                <w:b/>
                <w:sz w:val="22"/>
                <w:lang w:val="uk-UA" w:eastAsia="ru-RU"/>
              </w:rPr>
              <w:t>Резерви МСБО «Забезпечення, умовні зобов’язання та умовні активи» та  МСБО19 «Виплати працівникам»</w:t>
            </w:r>
          </w:p>
          <w:p w:rsidR="003717AB" w:rsidRPr="00ED5371" w:rsidRDefault="003717AB" w:rsidP="00ED5371">
            <w:pPr>
              <w:suppressAutoHyphens w:val="0"/>
              <w:spacing w:after="120" w:line="276" w:lineRule="auto"/>
              <w:ind w:left="284"/>
              <w:jc w:val="both"/>
              <w:rPr>
                <w:rFonts w:eastAsia="Calibri"/>
                <w:sz w:val="22"/>
                <w:lang w:val="uk-UA" w:eastAsia="en-US"/>
              </w:rPr>
            </w:pPr>
            <w:r w:rsidRPr="00ED5371">
              <w:rPr>
                <w:rFonts w:eastAsia="Calibri"/>
                <w:sz w:val="22"/>
                <w:lang w:val="uk-UA" w:eastAsia="en-US"/>
              </w:rPr>
              <w:t>Товариство зобов’язане відраховувати визначений відсоток заробітної плати до Пенсійного фонду з метою виплати пенсій. Єдиним зобов’язанням Товариства по відношенню до даного пенсійного плану є відрахування певного відсотку зарплати до Пенсійного фонду. Станом на 31 грудня 2016 року Товариство не мало зобов’язань за додатковими пенсійними виплатами, медичним обслуговуванням, страховими чи іншими виплатами після виходу на пенсію перед своїми співробітниками чи іншими прац</w:t>
            </w:r>
            <w:r w:rsidR="00ED5371" w:rsidRPr="00ED5371">
              <w:rPr>
                <w:rFonts w:eastAsia="Calibri"/>
                <w:sz w:val="22"/>
                <w:lang w:val="uk-UA" w:eastAsia="en-US"/>
              </w:rPr>
              <w:t>івниками.</w:t>
            </w:r>
          </w:p>
        </w:tc>
        <w:tc>
          <w:tcPr>
            <w:tcW w:w="1306" w:type="dxa"/>
            <w:tcBorders>
              <w:top w:val="nil"/>
              <w:left w:val="nil"/>
              <w:bottom w:val="nil"/>
              <w:right w:val="nil"/>
            </w:tcBorders>
            <w:shd w:val="clear" w:color="auto" w:fill="auto"/>
            <w:noWrap/>
            <w:vAlign w:val="bottom"/>
          </w:tcPr>
          <w:p w:rsidR="003717AB" w:rsidRPr="003717AB" w:rsidRDefault="003717AB" w:rsidP="004047BD">
            <w:pPr>
              <w:suppressAutoHyphens w:val="0"/>
              <w:jc w:val="both"/>
              <w:rPr>
                <w:b/>
                <w:bCs/>
                <w:color w:val="000000"/>
                <w:lang w:val="uk-UA" w:eastAsia="uk-UA"/>
              </w:rPr>
            </w:pPr>
          </w:p>
          <w:p w:rsidR="003717AB" w:rsidRPr="003717AB" w:rsidRDefault="003717AB" w:rsidP="004047BD">
            <w:pPr>
              <w:suppressAutoHyphens w:val="0"/>
              <w:jc w:val="both"/>
              <w:rPr>
                <w:b/>
                <w:bCs/>
                <w:color w:val="000000"/>
                <w:lang w:val="uk-UA" w:eastAsia="uk-UA"/>
              </w:rPr>
            </w:pPr>
          </w:p>
          <w:p w:rsidR="003717AB" w:rsidRPr="003717AB" w:rsidRDefault="003717AB" w:rsidP="004047BD">
            <w:pPr>
              <w:suppressAutoHyphens w:val="0"/>
              <w:jc w:val="both"/>
              <w:rPr>
                <w:b/>
                <w:bCs/>
                <w:color w:val="000000"/>
                <w:lang w:val="uk-UA" w:eastAsia="uk-UA"/>
              </w:rPr>
            </w:pPr>
          </w:p>
          <w:p w:rsidR="003717AB" w:rsidRPr="003717AB" w:rsidRDefault="003717AB" w:rsidP="004047BD">
            <w:pPr>
              <w:suppressAutoHyphens w:val="0"/>
              <w:jc w:val="both"/>
              <w:rPr>
                <w:b/>
                <w:bCs/>
                <w:color w:val="000000"/>
                <w:lang w:val="uk-UA" w:eastAsia="uk-UA"/>
              </w:rPr>
            </w:pPr>
          </w:p>
          <w:p w:rsidR="003717AB" w:rsidRPr="003717AB" w:rsidRDefault="003717AB" w:rsidP="004047BD">
            <w:pPr>
              <w:suppressAutoHyphens w:val="0"/>
              <w:jc w:val="both"/>
              <w:rPr>
                <w:b/>
                <w:bCs/>
                <w:color w:val="000000"/>
                <w:lang w:val="uk-UA" w:eastAsia="uk-UA"/>
              </w:rPr>
            </w:pPr>
          </w:p>
          <w:p w:rsidR="003717AB" w:rsidRPr="003717AB" w:rsidRDefault="003717AB" w:rsidP="004047BD">
            <w:pPr>
              <w:suppressAutoHyphens w:val="0"/>
              <w:jc w:val="both"/>
              <w:rPr>
                <w:b/>
                <w:bCs/>
                <w:color w:val="000000"/>
                <w:lang w:val="uk-UA" w:eastAsia="uk-UA"/>
              </w:rPr>
            </w:pPr>
          </w:p>
          <w:p w:rsidR="003717AB" w:rsidRPr="003717AB" w:rsidRDefault="003717AB" w:rsidP="004047BD">
            <w:pPr>
              <w:suppressAutoHyphens w:val="0"/>
              <w:jc w:val="both"/>
              <w:rPr>
                <w:b/>
                <w:bCs/>
                <w:color w:val="000000"/>
                <w:lang w:val="uk-UA" w:eastAsia="uk-UA"/>
              </w:rPr>
            </w:pPr>
          </w:p>
          <w:p w:rsidR="003717AB" w:rsidRPr="003717AB" w:rsidRDefault="003717AB" w:rsidP="004047BD">
            <w:pPr>
              <w:suppressAutoHyphens w:val="0"/>
              <w:jc w:val="both"/>
              <w:rPr>
                <w:b/>
                <w:bCs/>
                <w:color w:val="000000"/>
                <w:lang w:val="uk-UA" w:eastAsia="uk-UA"/>
              </w:rPr>
            </w:pPr>
          </w:p>
        </w:tc>
        <w:tc>
          <w:tcPr>
            <w:tcW w:w="285" w:type="dxa"/>
            <w:tcBorders>
              <w:top w:val="nil"/>
              <w:left w:val="nil"/>
              <w:bottom w:val="nil"/>
              <w:right w:val="nil"/>
            </w:tcBorders>
            <w:shd w:val="clear" w:color="auto" w:fill="auto"/>
            <w:noWrap/>
            <w:vAlign w:val="bottom"/>
          </w:tcPr>
          <w:p w:rsidR="003717AB" w:rsidRPr="003717AB" w:rsidRDefault="003717AB" w:rsidP="004047BD">
            <w:pPr>
              <w:suppressAutoHyphens w:val="0"/>
              <w:jc w:val="both"/>
              <w:rPr>
                <w:color w:val="000000"/>
                <w:lang w:val="uk-UA" w:eastAsia="uk-UA"/>
              </w:rPr>
            </w:pPr>
          </w:p>
        </w:tc>
        <w:tc>
          <w:tcPr>
            <w:tcW w:w="1306" w:type="dxa"/>
            <w:tcBorders>
              <w:top w:val="nil"/>
              <w:left w:val="nil"/>
              <w:bottom w:val="nil"/>
              <w:right w:val="nil"/>
            </w:tcBorders>
            <w:shd w:val="clear" w:color="auto" w:fill="auto"/>
            <w:noWrap/>
            <w:vAlign w:val="bottom"/>
          </w:tcPr>
          <w:p w:rsidR="003717AB" w:rsidRPr="003717AB" w:rsidRDefault="003717AB" w:rsidP="004047BD">
            <w:pPr>
              <w:suppressAutoHyphens w:val="0"/>
              <w:jc w:val="both"/>
              <w:rPr>
                <w:color w:val="000000"/>
                <w:lang w:val="uk-UA" w:eastAsia="uk-UA"/>
              </w:rPr>
            </w:pPr>
          </w:p>
        </w:tc>
      </w:tr>
    </w:tbl>
    <w:p w:rsidR="003717AB" w:rsidRPr="003717AB" w:rsidRDefault="003717AB" w:rsidP="004047BD">
      <w:pPr>
        <w:suppressAutoHyphens w:val="0"/>
        <w:spacing w:line="276" w:lineRule="auto"/>
        <w:jc w:val="both"/>
        <w:rPr>
          <w:rFonts w:ascii="Calibri" w:eastAsia="Calibri" w:hAnsi="Calibri"/>
          <w:vanish/>
          <w:sz w:val="22"/>
          <w:szCs w:val="22"/>
          <w:lang w:val="uk-UA" w:eastAsia="en-US"/>
        </w:rPr>
      </w:pPr>
    </w:p>
    <w:p w:rsidR="003717AB" w:rsidRPr="003717AB" w:rsidRDefault="00357A2C" w:rsidP="004047BD">
      <w:pPr>
        <w:suppressAutoHyphens w:val="0"/>
        <w:autoSpaceDE w:val="0"/>
        <w:autoSpaceDN w:val="0"/>
        <w:adjustRightInd w:val="0"/>
        <w:spacing w:before="240"/>
        <w:jc w:val="both"/>
        <w:rPr>
          <w:rFonts w:eastAsia="Calibri"/>
          <w:b/>
          <w:lang w:val="uk-UA" w:eastAsia="en-US"/>
        </w:rPr>
      </w:pPr>
      <w:r>
        <w:rPr>
          <w:rFonts w:eastAsia="Calibri"/>
          <w:b/>
          <w:lang w:val="uk-UA" w:eastAsia="en-US"/>
        </w:rPr>
        <w:t>5</w:t>
      </w:r>
      <w:r w:rsidR="00F71119">
        <w:rPr>
          <w:rFonts w:eastAsia="Calibri"/>
          <w:b/>
          <w:lang w:val="uk-UA" w:eastAsia="en-US"/>
        </w:rPr>
        <w:t>.6</w:t>
      </w:r>
      <w:r w:rsidR="003717AB" w:rsidRPr="003717AB">
        <w:rPr>
          <w:rFonts w:eastAsia="Calibri"/>
          <w:b/>
          <w:lang w:val="uk-UA" w:eastAsia="en-US"/>
        </w:rPr>
        <w:t>. Поточні зобов’язання і забезпечення.</w:t>
      </w:r>
    </w:p>
    <w:p w:rsidR="003717AB" w:rsidRPr="003717AB" w:rsidRDefault="003717AB" w:rsidP="004047BD">
      <w:pPr>
        <w:suppressAutoHyphens w:val="0"/>
        <w:autoSpaceDE w:val="0"/>
        <w:autoSpaceDN w:val="0"/>
        <w:adjustRightInd w:val="0"/>
        <w:spacing w:before="240"/>
        <w:jc w:val="both"/>
        <w:rPr>
          <w:rFonts w:eastAsia="Calibri"/>
          <w:lang w:val="en-US" w:eastAsia="en-US"/>
        </w:rPr>
      </w:pPr>
      <w:r w:rsidRPr="003717AB">
        <w:rPr>
          <w:rFonts w:eastAsia="Calibri"/>
          <w:lang w:val="uk-UA" w:eastAsia="en-US"/>
        </w:rPr>
        <w:t>Поточна кредиторська заборгованість оцінюється за вартістю погашення (не дисконтується).                                                                                                                                                                       Поточні зобов’язання і забезпечення:</w:t>
      </w:r>
    </w:p>
    <w:tbl>
      <w:tblPr>
        <w:tblW w:w="12575" w:type="dxa"/>
        <w:tblInd w:w="93" w:type="dxa"/>
        <w:tblLook w:val="04A0" w:firstRow="1" w:lastRow="0" w:firstColumn="1" w:lastColumn="0" w:noHBand="0" w:noVBand="1"/>
      </w:tblPr>
      <w:tblGrid>
        <w:gridCol w:w="9720"/>
        <w:gridCol w:w="1276"/>
        <w:gridCol w:w="283"/>
        <w:gridCol w:w="1296"/>
      </w:tblGrid>
      <w:tr w:rsidR="003717AB" w:rsidRPr="003717AB" w:rsidTr="00C50B25">
        <w:trPr>
          <w:trHeight w:val="315"/>
        </w:trPr>
        <w:tc>
          <w:tcPr>
            <w:tcW w:w="9720" w:type="dxa"/>
            <w:tcBorders>
              <w:top w:val="nil"/>
              <w:left w:val="nil"/>
              <w:bottom w:val="nil"/>
              <w:right w:val="nil"/>
            </w:tcBorders>
            <w:shd w:val="clear" w:color="auto" w:fill="auto"/>
            <w:noWrap/>
            <w:vAlign w:val="bottom"/>
          </w:tcPr>
          <w:tbl>
            <w:tblPr>
              <w:tblW w:w="9411" w:type="dxa"/>
              <w:tblInd w:w="93" w:type="dxa"/>
              <w:tblLook w:val="04A0" w:firstRow="1" w:lastRow="0" w:firstColumn="1" w:lastColumn="0" w:noHBand="0" w:noVBand="1"/>
            </w:tblPr>
            <w:tblGrid>
              <w:gridCol w:w="7596"/>
              <w:gridCol w:w="236"/>
              <w:gridCol w:w="283"/>
              <w:gridCol w:w="1296"/>
            </w:tblGrid>
            <w:tr w:rsidR="003717AB" w:rsidRPr="003717AB" w:rsidTr="00C50B25">
              <w:trPr>
                <w:trHeight w:val="315"/>
              </w:trPr>
              <w:tc>
                <w:tcPr>
                  <w:tcW w:w="7596" w:type="dxa"/>
                  <w:tcBorders>
                    <w:top w:val="nil"/>
                    <w:left w:val="nil"/>
                    <w:bottom w:val="nil"/>
                    <w:right w:val="nil"/>
                  </w:tcBorders>
                  <w:shd w:val="clear" w:color="auto" w:fill="auto"/>
                  <w:noWrap/>
                  <w:vAlign w:val="bottom"/>
                </w:tcPr>
                <w:p w:rsidR="003717AB" w:rsidRPr="003717AB" w:rsidRDefault="003717AB" w:rsidP="004047BD">
                  <w:pPr>
                    <w:suppressAutoHyphens w:val="0"/>
                    <w:jc w:val="both"/>
                    <w:rPr>
                      <w:rFonts w:eastAsia="Calibri"/>
                      <w:lang w:val="uk-UA" w:eastAsia="en-US"/>
                    </w:rPr>
                  </w:pPr>
                  <w:r w:rsidRPr="003717AB">
                    <w:rPr>
                      <w:rFonts w:eastAsia="Calibri"/>
                      <w:i/>
                      <w:lang w:val="uk-UA" w:eastAsia="en-US"/>
                    </w:rPr>
                    <w:t>тис. грн</w:t>
                  </w:r>
                  <w:r w:rsidRPr="003717AB">
                    <w:rPr>
                      <w:rFonts w:eastAsia="Calibri"/>
                      <w:lang w:val="uk-UA"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1417"/>
                    <w:gridCol w:w="1410"/>
                  </w:tblGrid>
                  <w:tr w:rsidR="003717AB" w:rsidRPr="003717AB" w:rsidTr="00C50B25">
                    <w:tc>
                      <w:tcPr>
                        <w:tcW w:w="3477" w:type="dxa"/>
                        <w:shd w:val="clear" w:color="auto" w:fill="auto"/>
                      </w:tcPr>
                      <w:p w:rsidR="003717AB" w:rsidRPr="003717AB" w:rsidRDefault="003717AB" w:rsidP="004047BD">
                        <w:pPr>
                          <w:suppressAutoHyphens w:val="0"/>
                          <w:jc w:val="both"/>
                          <w:rPr>
                            <w:rFonts w:eastAsia="Calibri"/>
                            <w:b/>
                            <w:i/>
                            <w:lang w:val="uk-UA" w:eastAsia="en-US"/>
                          </w:rPr>
                        </w:pPr>
                        <w:r w:rsidRPr="003717AB">
                          <w:rPr>
                            <w:rFonts w:eastAsia="Calibri"/>
                            <w:b/>
                            <w:i/>
                            <w:lang w:val="uk-UA" w:eastAsia="en-US"/>
                          </w:rPr>
                          <w:t>Статті</w:t>
                        </w:r>
                      </w:p>
                    </w:tc>
                    <w:tc>
                      <w:tcPr>
                        <w:tcW w:w="1417" w:type="dxa"/>
                        <w:shd w:val="clear" w:color="auto" w:fill="auto"/>
                        <w:vAlign w:val="bottom"/>
                      </w:tcPr>
                      <w:p w:rsidR="003717AB" w:rsidRPr="003717AB" w:rsidRDefault="003717AB" w:rsidP="004047BD">
                        <w:pPr>
                          <w:suppressAutoHyphens w:val="0"/>
                          <w:jc w:val="both"/>
                          <w:rPr>
                            <w:b/>
                            <w:bCs/>
                            <w:color w:val="000000"/>
                            <w:lang w:val="uk-UA" w:eastAsia="uk-UA"/>
                          </w:rPr>
                        </w:pPr>
                        <w:r w:rsidRPr="003717AB">
                          <w:rPr>
                            <w:b/>
                            <w:bCs/>
                            <w:color w:val="000000"/>
                            <w:lang w:val="uk-UA" w:eastAsia="uk-UA"/>
                          </w:rPr>
                          <w:t>31.12.2016</w:t>
                        </w:r>
                      </w:p>
                    </w:tc>
                    <w:tc>
                      <w:tcPr>
                        <w:tcW w:w="1410" w:type="dxa"/>
                        <w:shd w:val="clear" w:color="auto" w:fill="auto"/>
                        <w:vAlign w:val="bottom"/>
                      </w:tcPr>
                      <w:p w:rsidR="003717AB" w:rsidRPr="003717AB" w:rsidRDefault="005E3E35" w:rsidP="004047BD">
                        <w:pPr>
                          <w:suppressAutoHyphens w:val="0"/>
                          <w:jc w:val="both"/>
                          <w:rPr>
                            <w:b/>
                            <w:bCs/>
                            <w:color w:val="000000"/>
                            <w:lang w:val="uk-UA" w:eastAsia="uk-UA"/>
                          </w:rPr>
                        </w:pPr>
                        <w:r>
                          <w:rPr>
                            <w:b/>
                            <w:bCs/>
                            <w:color w:val="000000"/>
                            <w:lang w:val="uk-UA" w:eastAsia="uk-UA"/>
                          </w:rPr>
                          <w:t>31.12.2017</w:t>
                        </w:r>
                      </w:p>
                    </w:tc>
                  </w:tr>
                  <w:tr w:rsidR="003717AB" w:rsidRPr="003717AB" w:rsidTr="00C50B25">
                    <w:tc>
                      <w:tcPr>
                        <w:tcW w:w="3477" w:type="dxa"/>
                        <w:shd w:val="clear" w:color="auto" w:fill="auto"/>
                      </w:tcPr>
                      <w:p w:rsidR="003717AB" w:rsidRPr="003717AB" w:rsidRDefault="003717AB" w:rsidP="004047BD">
                        <w:pPr>
                          <w:suppressAutoHyphens w:val="0"/>
                          <w:jc w:val="both"/>
                          <w:rPr>
                            <w:rFonts w:eastAsia="Calibri"/>
                            <w:lang w:val="uk-UA" w:eastAsia="en-US"/>
                          </w:rPr>
                        </w:pPr>
                        <w:r w:rsidRPr="003717AB">
                          <w:rPr>
                            <w:rFonts w:eastAsia="Calibri"/>
                            <w:lang w:val="uk-UA" w:eastAsia="en-US"/>
                          </w:rPr>
                          <w:t>заборгованість за товари, послуги</w:t>
                        </w:r>
                      </w:p>
                    </w:tc>
                    <w:tc>
                      <w:tcPr>
                        <w:tcW w:w="1417" w:type="dxa"/>
                        <w:shd w:val="clear" w:color="auto" w:fill="auto"/>
                        <w:vAlign w:val="bottom"/>
                      </w:tcPr>
                      <w:p w:rsidR="003717AB" w:rsidRPr="003717AB" w:rsidRDefault="00ED5371" w:rsidP="004047BD">
                        <w:pPr>
                          <w:suppressAutoHyphens w:val="0"/>
                          <w:jc w:val="both"/>
                          <w:rPr>
                            <w:bCs/>
                            <w:color w:val="000000"/>
                            <w:lang w:val="uk-UA" w:eastAsia="uk-UA"/>
                          </w:rPr>
                        </w:pPr>
                        <w:r>
                          <w:rPr>
                            <w:bCs/>
                            <w:color w:val="000000"/>
                            <w:lang w:val="uk-UA" w:eastAsia="uk-UA"/>
                          </w:rPr>
                          <w:t>-</w:t>
                        </w:r>
                      </w:p>
                    </w:tc>
                    <w:tc>
                      <w:tcPr>
                        <w:tcW w:w="1410" w:type="dxa"/>
                        <w:shd w:val="clear" w:color="auto" w:fill="auto"/>
                        <w:vAlign w:val="bottom"/>
                      </w:tcPr>
                      <w:p w:rsidR="003717AB" w:rsidRPr="003717AB" w:rsidRDefault="00ED5371" w:rsidP="004047BD">
                        <w:pPr>
                          <w:suppressAutoHyphens w:val="0"/>
                          <w:jc w:val="both"/>
                          <w:rPr>
                            <w:bCs/>
                            <w:color w:val="000000"/>
                            <w:lang w:val="uk-UA" w:eastAsia="uk-UA"/>
                          </w:rPr>
                        </w:pPr>
                        <w:r>
                          <w:rPr>
                            <w:bCs/>
                            <w:color w:val="000000"/>
                            <w:lang w:val="uk-UA" w:eastAsia="uk-UA"/>
                          </w:rPr>
                          <w:t>-</w:t>
                        </w:r>
                      </w:p>
                    </w:tc>
                  </w:tr>
                  <w:tr w:rsidR="003717AB" w:rsidRPr="003717AB" w:rsidTr="00C50B25">
                    <w:tc>
                      <w:tcPr>
                        <w:tcW w:w="3477" w:type="dxa"/>
                        <w:shd w:val="clear" w:color="auto" w:fill="auto"/>
                        <w:vAlign w:val="bottom"/>
                      </w:tcPr>
                      <w:p w:rsidR="003717AB" w:rsidRPr="003717AB" w:rsidRDefault="003717AB" w:rsidP="004047BD">
                        <w:pPr>
                          <w:suppressAutoHyphens w:val="0"/>
                          <w:jc w:val="both"/>
                          <w:rPr>
                            <w:color w:val="000000"/>
                            <w:lang w:val="uk-UA" w:eastAsia="uk-UA"/>
                          </w:rPr>
                        </w:pPr>
                        <w:r w:rsidRPr="003717AB">
                          <w:rPr>
                            <w:color w:val="000000"/>
                            <w:lang w:val="uk-UA" w:eastAsia="uk-UA"/>
                          </w:rPr>
                          <w:t>Заборгованість за податками</w:t>
                        </w:r>
                      </w:p>
                    </w:tc>
                    <w:tc>
                      <w:tcPr>
                        <w:tcW w:w="1417" w:type="dxa"/>
                        <w:shd w:val="clear" w:color="auto" w:fill="auto"/>
                      </w:tcPr>
                      <w:p w:rsidR="003717AB" w:rsidRPr="003717AB" w:rsidRDefault="00ED5371" w:rsidP="004047BD">
                        <w:pPr>
                          <w:suppressAutoHyphens w:val="0"/>
                          <w:jc w:val="both"/>
                          <w:rPr>
                            <w:rFonts w:eastAsia="Calibri"/>
                            <w:lang w:val="uk-UA" w:eastAsia="en-US"/>
                          </w:rPr>
                        </w:pPr>
                        <w:r>
                          <w:rPr>
                            <w:rFonts w:eastAsia="Calibri"/>
                            <w:lang w:val="uk-UA" w:eastAsia="en-US"/>
                          </w:rPr>
                          <w:t>52</w:t>
                        </w:r>
                      </w:p>
                    </w:tc>
                    <w:tc>
                      <w:tcPr>
                        <w:tcW w:w="1410" w:type="dxa"/>
                        <w:shd w:val="clear" w:color="auto" w:fill="auto"/>
                      </w:tcPr>
                      <w:p w:rsidR="003717AB" w:rsidRPr="003717AB" w:rsidRDefault="00614923" w:rsidP="004047BD">
                        <w:pPr>
                          <w:suppressAutoHyphens w:val="0"/>
                          <w:jc w:val="both"/>
                          <w:rPr>
                            <w:rFonts w:eastAsia="Calibri"/>
                            <w:lang w:val="uk-UA" w:eastAsia="en-US"/>
                          </w:rPr>
                        </w:pPr>
                        <w:r>
                          <w:rPr>
                            <w:rFonts w:eastAsia="Calibri"/>
                            <w:lang w:val="uk-UA" w:eastAsia="en-US"/>
                          </w:rPr>
                          <w:t>56</w:t>
                        </w:r>
                      </w:p>
                    </w:tc>
                  </w:tr>
                  <w:tr w:rsidR="003717AB" w:rsidRPr="003717AB" w:rsidTr="00C50B25">
                    <w:tc>
                      <w:tcPr>
                        <w:tcW w:w="3477" w:type="dxa"/>
                        <w:shd w:val="clear" w:color="auto" w:fill="auto"/>
                        <w:vAlign w:val="bottom"/>
                      </w:tcPr>
                      <w:p w:rsidR="003717AB" w:rsidRPr="003717AB" w:rsidRDefault="003717AB" w:rsidP="004047BD">
                        <w:pPr>
                          <w:suppressAutoHyphens w:val="0"/>
                          <w:jc w:val="both"/>
                          <w:rPr>
                            <w:color w:val="000000"/>
                            <w:lang w:val="uk-UA" w:eastAsia="uk-UA"/>
                          </w:rPr>
                        </w:pPr>
                        <w:r w:rsidRPr="003717AB">
                          <w:rPr>
                            <w:color w:val="000000"/>
                            <w:lang w:val="uk-UA" w:eastAsia="uk-UA"/>
                          </w:rPr>
                          <w:t>Заборгованість з оплати праці</w:t>
                        </w:r>
                      </w:p>
                    </w:tc>
                    <w:tc>
                      <w:tcPr>
                        <w:tcW w:w="1417" w:type="dxa"/>
                        <w:shd w:val="clear" w:color="auto" w:fill="auto"/>
                      </w:tcPr>
                      <w:p w:rsidR="003717AB" w:rsidRPr="003717AB" w:rsidRDefault="00BD3AF5" w:rsidP="004047BD">
                        <w:pPr>
                          <w:suppressAutoHyphens w:val="0"/>
                          <w:jc w:val="both"/>
                          <w:rPr>
                            <w:rFonts w:eastAsia="Calibri"/>
                            <w:lang w:val="uk-UA" w:eastAsia="en-US"/>
                          </w:rPr>
                        </w:pPr>
                        <w:r>
                          <w:rPr>
                            <w:rFonts w:eastAsia="Calibri"/>
                            <w:lang w:val="uk-UA" w:eastAsia="en-US"/>
                          </w:rPr>
                          <w:t>18</w:t>
                        </w:r>
                      </w:p>
                    </w:tc>
                    <w:tc>
                      <w:tcPr>
                        <w:tcW w:w="1410" w:type="dxa"/>
                        <w:shd w:val="clear" w:color="auto" w:fill="auto"/>
                      </w:tcPr>
                      <w:p w:rsidR="003717AB" w:rsidRPr="003717AB" w:rsidRDefault="00614923" w:rsidP="004047BD">
                        <w:pPr>
                          <w:suppressAutoHyphens w:val="0"/>
                          <w:jc w:val="both"/>
                          <w:rPr>
                            <w:rFonts w:eastAsia="Calibri"/>
                            <w:lang w:val="uk-UA" w:eastAsia="en-US"/>
                          </w:rPr>
                        </w:pPr>
                        <w:r>
                          <w:rPr>
                            <w:rFonts w:eastAsia="Calibri"/>
                            <w:lang w:val="uk-UA" w:eastAsia="en-US"/>
                          </w:rPr>
                          <w:t>15</w:t>
                        </w:r>
                      </w:p>
                    </w:tc>
                  </w:tr>
                  <w:tr w:rsidR="003717AB" w:rsidRPr="003717AB" w:rsidTr="00C50B25">
                    <w:tc>
                      <w:tcPr>
                        <w:tcW w:w="3477" w:type="dxa"/>
                        <w:shd w:val="clear" w:color="auto" w:fill="auto"/>
                        <w:vAlign w:val="bottom"/>
                      </w:tcPr>
                      <w:p w:rsidR="003717AB" w:rsidRPr="003717AB" w:rsidRDefault="003717AB" w:rsidP="004047BD">
                        <w:pPr>
                          <w:suppressAutoHyphens w:val="0"/>
                          <w:jc w:val="both"/>
                          <w:rPr>
                            <w:color w:val="000000"/>
                            <w:lang w:val="uk-UA" w:eastAsia="uk-UA"/>
                          </w:rPr>
                        </w:pPr>
                        <w:r w:rsidRPr="003717AB">
                          <w:rPr>
                            <w:color w:val="000000"/>
                            <w:lang w:val="uk-UA" w:eastAsia="uk-UA"/>
                          </w:rPr>
                          <w:t>Заборгованість із страхування</w:t>
                        </w:r>
                      </w:p>
                    </w:tc>
                    <w:tc>
                      <w:tcPr>
                        <w:tcW w:w="1417" w:type="dxa"/>
                        <w:shd w:val="clear" w:color="auto" w:fill="auto"/>
                      </w:tcPr>
                      <w:p w:rsidR="003717AB" w:rsidRPr="003717AB" w:rsidRDefault="00ED5371" w:rsidP="004047BD">
                        <w:pPr>
                          <w:suppressAutoHyphens w:val="0"/>
                          <w:jc w:val="both"/>
                          <w:rPr>
                            <w:rFonts w:eastAsia="Calibri"/>
                            <w:lang w:val="uk-UA" w:eastAsia="en-US"/>
                          </w:rPr>
                        </w:pPr>
                        <w:r>
                          <w:rPr>
                            <w:rFonts w:eastAsia="Calibri"/>
                            <w:lang w:val="uk-UA" w:eastAsia="en-US"/>
                          </w:rPr>
                          <w:t>13</w:t>
                        </w:r>
                      </w:p>
                    </w:tc>
                    <w:tc>
                      <w:tcPr>
                        <w:tcW w:w="1410" w:type="dxa"/>
                        <w:shd w:val="clear" w:color="auto" w:fill="auto"/>
                      </w:tcPr>
                      <w:p w:rsidR="003717AB" w:rsidRPr="003717AB" w:rsidRDefault="00614923" w:rsidP="004047BD">
                        <w:pPr>
                          <w:suppressAutoHyphens w:val="0"/>
                          <w:jc w:val="both"/>
                          <w:rPr>
                            <w:rFonts w:eastAsia="Calibri"/>
                            <w:lang w:val="uk-UA" w:eastAsia="en-US"/>
                          </w:rPr>
                        </w:pPr>
                        <w:r>
                          <w:rPr>
                            <w:rFonts w:eastAsia="Calibri"/>
                            <w:lang w:val="uk-UA" w:eastAsia="en-US"/>
                          </w:rPr>
                          <w:t>9</w:t>
                        </w:r>
                      </w:p>
                    </w:tc>
                  </w:tr>
                  <w:tr w:rsidR="003717AB" w:rsidRPr="003717AB" w:rsidTr="00C50B25">
                    <w:tc>
                      <w:tcPr>
                        <w:tcW w:w="3477" w:type="dxa"/>
                        <w:shd w:val="clear" w:color="auto" w:fill="auto"/>
                        <w:vAlign w:val="bottom"/>
                      </w:tcPr>
                      <w:p w:rsidR="003717AB" w:rsidRPr="003717AB" w:rsidRDefault="003717AB" w:rsidP="004047BD">
                        <w:pPr>
                          <w:suppressAutoHyphens w:val="0"/>
                          <w:jc w:val="both"/>
                          <w:rPr>
                            <w:color w:val="000000"/>
                            <w:lang w:val="uk-UA" w:eastAsia="uk-UA"/>
                          </w:rPr>
                        </w:pPr>
                        <w:r w:rsidRPr="003717AB">
                          <w:rPr>
                            <w:color w:val="000000"/>
                            <w:lang w:val="uk-UA" w:eastAsia="uk-UA"/>
                          </w:rPr>
                          <w:t>з одержаних авансів</w:t>
                        </w:r>
                      </w:p>
                    </w:tc>
                    <w:tc>
                      <w:tcPr>
                        <w:tcW w:w="1417" w:type="dxa"/>
                        <w:shd w:val="clear" w:color="auto" w:fill="auto"/>
                      </w:tcPr>
                      <w:p w:rsidR="003717AB" w:rsidRPr="003717AB" w:rsidRDefault="00BD3AF5" w:rsidP="004047BD">
                        <w:pPr>
                          <w:suppressAutoHyphens w:val="0"/>
                          <w:jc w:val="both"/>
                          <w:rPr>
                            <w:rFonts w:eastAsia="Calibri"/>
                            <w:lang w:val="uk-UA" w:eastAsia="en-US"/>
                          </w:rPr>
                        </w:pPr>
                        <w:r>
                          <w:rPr>
                            <w:rFonts w:eastAsia="Calibri"/>
                            <w:lang w:val="uk-UA" w:eastAsia="en-US"/>
                          </w:rPr>
                          <w:t>-</w:t>
                        </w:r>
                      </w:p>
                    </w:tc>
                    <w:tc>
                      <w:tcPr>
                        <w:tcW w:w="1410" w:type="dxa"/>
                        <w:shd w:val="clear" w:color="auto" w:fill="auto"/>
                      </w:tcPr>
                      <w:p w:rsidR="003717AB" w:rsidRPr="003717AB" w:rsidRDefault="003717AB" w:rsidP="004047BD">
                        <w:pPr>
                          <w:suppressAutoHyphens w:val="0"/>
                          <w:jc w:val="both"/>
                          <w:rPr>
                            <w:rFonts w:eastAsia="Calibri"/>
                            <w:lang w:val="uk-UA" w:eastAsia="en-US"/>
                          </w:rPr>
                        </w:pPr>
                      </w:p>
                    </w:tc>
                  </w:tr>
                  <w:tr w:rsidR="003717AB" w:rsidRPr="003717AB" w:rsidTr="00C50B25">
                    <w:tc>
                      <w:tcPr>
                        <w:tcW w:w="3477" w:type="dxa"/>
                        <w:shd w:val="clear" w:color="auto" w:fill="auto"/>
                        <w:vAlign w:val="bottom"/>
                      </w:tcPr>
                      <w:p w:rsidR="003717AB" w:rsidRPr="003717AB" w:rsidRDefault="003717AB" w:rsidP="004047BD">
                        <w:pPr>
                          <w:suppressAutoHyphens w:val="0"/>
                          <w:jc w:val="both"/>
                          <w:rPr>
                            <w:color w:val="000000"/>
                            <w:lang w:val="uk-UA" w:eastAsia="uk-UA"/>
                          </w:rPr>
                        </w:pPr>
                        <w:r w:rsidRPr="003717AB">
                          <w:rPr>
                            <w:color w:val="000000"/>
                            <w:lang w:val="uk-UA" w:eastAsia="uk-UA"/>
                          </w:rPr>
                          <w:t>Поточні забезпечення</w:t>
                        </w:r>
                      </w:p>
                    </w:tc>
                    <w:tc>
                      <w:tcPr>
                        <w:tcW w:w="1417" w:type="dxa"/>
                        <w:shd w:val="clear" w:color="auto" w:fill="auto"/>
                      </w:tcPr>
                      <w:p w:rsidR="003717AB" w:rsidRPr="003717AB" w:rsidRDefault="003717AB" w:rsidP="004047BD">
                        <w:pPr>
                          <w:suppressAutoHyphens w:val="0"/>
                          <w:jc w:val="both"/>
                          <w:rPr>
                            <w:rFonts w:eastAsia="Calibri"/>
                            <w:lang w:val="uk-UA" w:eastAsia="en-US"/>
                          </w:rPr>
                        </w:pPr>
                      </w:p>
                    </w:tc>
                    <w:tc>
                      <w:tcPr>
                        <w:tcW w:w="1410" w:type="dxa"/>
                        <w:shd w:val="clear" w:color="auto" w:fill="auto"/>
                      </w:tcPr>
                      <w:p w:rsidR="003717AB" w:rsidRPr="003717AB" w:rsidRDefault="003717AB" w:rsidP="004047BD">
                        <w:pPr>
                          <w:suppressAutoHyphens w:val="0"/>
                          <w:jc w:val="both"/>
                          <w:rPr>
                            <w:rFonts w:eastAsia="Calibri"/>
                            <w:lang w:val="uk-UA" w:eastAsia="en-US"/>
                          </w:rPr>
                        </w:pPr>
                      </w:p>
                    </w:tc>
                  </w:tr>
                  <w:tr w:rsidR="003717AB" w:rsidRPr="003717AB" w:rsidTr="00C50B25">
                    <w:tc>
                      <w:tcPr>
                        <w:tcW w:w="3477" w:type="dxa"/>
                        <w:shd w:val="clear" w:color="auto" w:fill="auto"/>
                        <w:vAlign w:val="bottom"/>
                      </w:tcPr>
                      <w:p w:rsidR="003717AB" w:rsidRPr="003717AB" w:rsidRDefault="003717AB" w:rsidP="004047BD">
                        <w:pPr>
                          <w:suppressAutoHyphens w:val="0"/>
                          <w:jc w:val="both"/>
                          <w:rPr>
                            <w:color w:val="000000"/>
                            <w:lang w:val="uk-UA" w:eastAsia="uk-UA"/>
                          </w:rPr>
                        </w:pPr>
                      </w:p>
                    </w:tc>
                    <w:tc>
                      <w:tcPr>
                        <w:tcW w:w="1417" w:type="dxa"/>
                        <w:shd w:val="clear" w:color="auto" w:fill="auto"/>
                      </w:tcPr>
                      <w:p w:rsidR="003717AB" w:rsidRPr="003717AB" w:rsidRDefault="003717AB" w:rsidP="004047BD">
                        <w:pPr>
                          <w:suppressAutoHyphens w:val="0"/>
                          <w:jc w:val="both"/>
                          <w:rPr>
                            <w:rFonts w:eastAsia="Calibri"/>
                            <w:lang w:val="uk-UA" w:eastAsia="en-US"/>
                          </w:rPr>
                        </w:pPr>
                      </w:p>
                    </w:tc>
                    <w:tc>
                      <w:tcPr>
                        <w:tcW w:w="1410" w:type="dxa"/>
                        <w:shd w:val="clear" w:color="auto" w:fill="auto"/>
                      </w:tcPr>
                      <w:p w:rsidR="003717AB" w:rsidRPr="003717AB" w:rsidRDefault="003717AB" w:rsidP="004047BD">
                        <w:pPr>
                          <w:suppressAutoHyphens w:val="0"/>
                          <w:jc w:val="both"/>
                          <w:rPr>
                            <w:rFonts w:eastAsia="Calibri"/>
                            <w:lang w:val="uk-UA" w:eastAsia="en-US"/>
                          </w:rPr>
                        </w:pPr>
                      </w:p>
                    </w:tc>
                  </w:tr>
                  <w:tr w:rsidR="003717AB" w:rsidRPr="003717AB" w:rsidTr="00C50B25">
                    <w:tc>
                      <w:tcPr>
                        <w:tcW w:w="3477" w:type="dxa"/>
                        <w:shd w:val="clear" w:color="auto" w:fill="auto"/>
                      </w:tcPr>
                      <w:p w:rsidR="003717AB" w:rsidRPr="003717AB" w:rsidRDefault="003717AB" w:rsidP="004047BD">
                        <w:pPr>
                          <w:suppressAutoHyphens w:val="0"/>
                          <w:jc w:val="both"/>
                          <w:rPr>
                            <w:rFonts w:eastAsia="Calibri"/>
                            <w:b/>
                            <w:i/>
                            <w:lang w:val="uk-UA" w:eastAsia="en-US"/>
                          </w:rPr>
                        </w:pPr>
                        <w:r w:rsidRPr="003717AB">
                          <w:rPr>
                            <w:rFonts w:eastAsia="Calibri"/>
                            <w:b/>
                            <w:i/>
                            <w:lang w:val="uk-UA" w:eastAsia="en-US"/>
                          </w:rPr>
                          <w:t>Усього</w:t>
                        </w:r>
                      </w:p>
                    </w:tc>
                    <w:tc>
                      <w:tcPr>
                        <w:tcW w:w="1417" w:type="dxa"/>
                        <w:shd w:val="clear" w:color="auto" w:fill="auto"/>
                      </w:tcPr>
                      <w:p w:rsidR="003717AB" w:rsidRPr="003717AB" w:rsidRDefault="00BD3AF5" w:rsidP="004047BD">
                        <w:pPr>
                          <w:suppressAutoHyphens w:val="0"/>
                          <w:jc w:val="both"/>
                          <w:rPr>
                            <w:rFonts w:eastAsia="Calibri"/>
                            <w:b/>
                            <w:i/>
                            <w:lang w:val="uk-UA" w:eastAsia="en-US"/>
                          </w:rPr>
                        </w:pPr>
                        <w:r>
                          <w:rPr>
                            <w:rFonts w:eastAsia="Calibri"/>
                            <w:b/>
                            <w:i/>
                            <w:lang w:val="uk-UA" w:eastAsia="en-US"/>
                          </w:rPr>
                          <w:t>83</w:t>
                        </w:r>
                      </w:p>
                    </w:tc>
                    <w:tc>
                      <w:tcPr>
                        <w:tcW w:w="1410" w:type="dxa"/>
                        <w:shd w:val="clear" w:color="auto" w:fill="auto"/>
                      </w:tcPr>
                      <w:p w:rsidR="003717AB" w:rsidRPr="003717AB" w:rsidRDefault="00614923" w:rsidP="004047BD">
                        <w:pPr>
                          <w:suppressAutoHyphens w:val="0"/>
                          <w:jc w:val="both"/>
                          <w:rPr>
                            <w:rFonts w:eastAsia="Calibri"/>
                            <w:b/>
                            <w:i/>
                            <w:lang w:val="uk-UA" w:eastAsia="en-US"/>
                          </w:rPr>
                        </w:pPr>
                        <w:r>
                          <w:rPr>
                            <w:rFonts w:eastAsia="Calibri"/>
                            <w:b/>
                            <w:i/>
                            <w:lang w:val="uk-UA" w:eastAsia="en-US"/>
                          </w:rPr>
                          <w:t>80</w:t>
                        </w:r>
                      </w:p>
                    </w:tc>
                  </w:tr>
                </w:tbl>
                <w:p w:rsidR="003717AB" w:rsidRPr="003717AB" w:rsidRDefault="003717AB" w:rsidP="004047BD">
                  <w:pPr>
                    <w:suppressAutoHyphens w:val="0"/>
                    <w:jc w:val="both"/>
                    <w:rPr>
                      <w:rFonts w:ascii="Calibri" w:eastAsia="Calibri" w:hAnsi="Calibri"/>
                      <w:lang w:val="uk-UA" w:eastAsia="en-US"/>
                    </w:rPr>
                  </w:pPr>
                </w:p>
                <w:p w:rsidR="003717AB" w:rsidRPr="003717AB" w:rsidRDefault="003717AB" w:rsidP="004047BD">
                  <w:pPr>
                    <w:suppressAutoHyphens w:val="0"/>
                    <w:jc w:val="both"/>
                    <w:rPr>
                      <w:rFonts w:ascii="Calibri" w:eastAsia="Calibri" w:hAnsi="Calibri"/>
                      <w:b/>
                      <w:lang w:val="uk-UA" w:eastAsia="en-US"/>
                    </w:rPr>
                  </w:pPr>
                  <w:r w:rsidRPr="003717AB">
                    <w:rPr>
                      <w:b/>
                      <w:color w:val="000000"/>
                      <w:lang w:val="uk-UA" w:eastAsia="uk-UA"/>
                    </w:rPr>
                    <w:t>інші поточні зобов’язання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1417"/>
                    <w:gridCol w:w="1410"/>
                  </w:tblGrid>
                  <w:tr w:rsidR="003717AB" w:rsidRPr="003717AB" w:rsidTr="00C50B25">
                    <w:tc>
                      <w:tcPr>
                        <w:tcW w:w="3477" w:type="dxa"/>
                        <w:shd w:val="clear" w:color="auto" w:fill="auto"/>
                      </w:tcPr>
                      <w:p w:rsidR="003717AB" w:rsidRPr="003717AB" w:rsidRDefault="003717AB" w:rsidP="004047BD">
                        <w:pPr>
                          <w:suppressAutoHyphens w:val="0"/>
                          <w:jc w:val="both"/>
                          <w:rPr>
                            <w:rFonts w:eastAsia="Calibri"/>
                            <w:b/>
                            <w:i/>
                            <w:lang w:val="uk-UA" w:eastAsia="en-US"/>
                          </w:rPr>
                        </w:pPr>
                        <w:r w:rsidRPr="003717AB">
                          <w:rPr>
                            <w:rFonts w:eastAsia="Calibri"/>
                            <w:b/>
                            <w:i/>
                            <w:lang w:val="uk-UA" w:eastAsia="en-US"/>
                          </w:rPr>
                          <w:t>Статті</w:t>
                        </w:r>
                      </w:p>
                    </w:tc>
                    <w:tc>
                      <w:tcPr>
                        <w:tcW w:w="1417" w:type="dxa"/>
                        <w:shd w:val="clear" w:color="auto" w:fill="auto"/>
                        <w:vAlign w:val="bottom"/>
                      </w:tcPr>
                      <w:p w:rsidR="003717AB" w:rsidRPr="003717AB" w:rsidRDefault="003717AB" w:rsidP="004047BD">
                        <w:pPr>
                          <w:suppressAutoHyphens w:val="0"/>
                          <w:jc w:val="both"/>
                          <w:rPr>
                            <w:b/>
                            <w:bCs/>
                            <w:color w:val="000000"/>
                            <w:lang w:val="uk-UA" w:eastAsia="uk-UA"/>
                          </w:rPr>
                        </w:pPr>
                        <w:r w:rsidRPr="003717AB">
                          <w:rPr>
                            <w:b/>
                            <w:bCs/>
                            <w:color w:val="000000"/>
                            <w:lang w:val="uk-UA" w:eastAsia="uk-UA"/>
                          </w:rPr>
                          <w:t>31.12.2016</w:t>
                        </w:r>
                      </w:p>
                    </w:tc>
                    <w:tc>
                      <w:tcPr>
                        <w:tcW w:w="1410" w:type="dxa"/>
                        <w:shd w:val="clear" w:color="auto" w:fill="auto"/>
                        <w:vAlign w:val="bottom"/>
                      </w:tcPr>
                      <w:p w:rsidR="003717AB" w:rsidRPr="003717AB" w:rsidRDefault="00B17AE1" w:rsidP="004047BD">
                        <w:pPr>
                          <w:suppressAutoHyphens w:val="0"/>
                          <w:jc w:val="both"/>
                          <w:rPr>
                            <w:b/>
                            <w:bCs/>
                            <w:color w:val="000000"/>
                            <w:lang w:val="uk-UA" w:eastAsia="uk-UA"/>
                          </w:rPr>
                        </w:pPr>
                        <w:r>
                          <w:rPr>
                            <w:b/>
                            <w:bCs/>
                            <w:color w:val="000000"/>
                            <w:lang w:val="uk-UA" w:eastAsia="uk-UA"/>
                          </w:rPr>
                          <w:t>31.12.2017</w:t>
                        </w:r>
                      </w:p>
                    </w:tc>
                  </w:tr>
                  <w:tr w:rsidR="003717AB" w:rsidRPr="003717AB" w:rsidTr="00C50B25">
                    <w:tc>
                      <w:tcPr>
                        <w:tcW w:w="3477" w:type="dxa"/>
                        <w:shd w:val="clear" w:color="auto" w:fill="auto"/>
                        <w:vAlign w:val="bottom"/>
                      </w:tcPr>
                      <w:p w:rsidR="003717AB" w:rsidRPr="003717AB" w:rsidRDefault="003717AB" w:rsidP="004047BD">
                        <w:pPr>
                          <w:suppressAutoHyphens w:val="0"/>
                          <w:jc w:val="both"/>
                          <w:rPr>
                            <w:color w:val="000000"/>
                            <w:lang w:val="uk-UA" w:eastAsia="uk-UA"/>
                          </w:rPr>
                        </w:pPr>
                        <w:r w:rsidRPr="003717AB">
                          <w:rPr>
                            <w:color w:val="000000"/>
                            <w:lang w:val="uk-UA" w:eastAsia="uk-UA"/>
                          </w:rPr>
                          <w:t>інші поточні зобов’язання</w:t>
                        </w:r>
                      </w:p>
                    </w:tc>
                    <w:tc>
                      <w:tcPr>
                        <w:tcW w:w="1417" w:type="dxa"/>
                        <w:shd w:val="clear" w:color="auto" w:fill="auto"/>
                      </w:tcPr>
                      <w:p w:rsidR="003717AB" w:rsidRPr="003717AB" w:rsidRDefault="00BD3AF5" w:rsidP="004047BD">
                        <w:pPr>
                          <w:suppressAutoHyphens w:val="0"/>
                          <w:jc w:val="both"/>
                          <w:rPr>
                            <w:rFonts w:eastAsia="Calibri"/>
                            <w:lang w:val="uk-UA" w:eastAsia="en-US"/>
                          </w:rPr>
                        </w:pPr>
                        <w:r>
                          <w:rPr>
                            <w:rFonts w:eastAsia="Calibri"/>
                            <w:lang w:val="uk-UA" w:eastAsia="en-US"/>
                          </w:rPr>
                          <w:t>-</w:t>
                        </w:r>
                      </w:p>
                    </w:tc>
                    <w:tc>
                      <w:tcPr>
                        <w:tcW w:w="1410" w:type="dxa"/>
                        <w:shd w:val="clear" w:color="auto" w:fill="auto"/>
                      </w:tcPr>
                      <w:p w:rsidR="003717AB" w:rsidRPr="003717AB" w:rsidRDefault="00BD3AF5" w:rsidP="004047BD">
                        <w:pPr>
                          <w:suppressAutoHyphens w:val="0"/>
                          <w:jc w:val="both"/>
                          <w:rPr>
                            <w:rFonts w:eastAsia="Calibri"/>
                            <w:lang w:val="uk-UA" w:eastAsia="en-US"/>
                          </w:rPr>
                        </w:pPr>
                        <w:r>
                          <w:rPr>
                            <w:rFonts w:eastAsia="Calibri"/>
                            <w:lang w:val="uk-UA" w:eastAsia="en-US"/>
                          </w:rPr>
                          <w:t>-</w:t>
                        </w:r>
                      </w:p>
                    </w:tc>
                  </w:tr>
                  <w:tr w:rsidR="003717AB" w:rsidRPr="003717AB" w:rsidTr="00C50B25">
                    <w:tc>
                      <w:tcPr>
                        <w:tcW w:w="3477" w:type="dxa"/>
                        <w:shd w:val="clear" w:color="auto" w:fill="auto"/>
                        <w:vAlign w:val="bottom"/>
                      </w:tcPr>
                      <w:p w:rsidR="003717AB" w:rsidRPr="003717AB" w:rsidRDefault="003717AB" w:rsidP="004047BD">
                        <w:pPr>
                          <w:suppressAutoHyphens w:val="0"/>
                          <w:jc w:val="both"/>
                          <w:rPr>
                            <w:color w:val="000000"/>
                            <w:lang w:val="uk-UA" w:eastAsia="uk-UA"/>
                          </w:rPr>
                        </w:pPr>
                        <w:r w:rsidRPr="003717AB">
                          <w:rPr>
                            <w:color w:val="000000"/>
                            <w:lang w:val="uk-UA" w:eastAsia="uk-UA"/>
                          </w:rPr>
                          <w:t>в т.ч. поворотна фінансова допомога</w:t>
                        </w:r>
                      </w:p>
                    </w:tc>
                    <w:tc>
                      <w:tcPr>
                        <w:tcW w:w="1417" w:type="dxa"/>
                        <w:shd w:val="clear" w:color="auto" w:fill="auto"/>
                      </w:tcPr>
                      <w:p w:rsidR="003717AB" w:rsidRPr="003717AB" w:rsidRDefault="00BD3AF5" w:rsidP="004047BD">
                        <w:pPr>
                          <w:suppressAutoHyphens w:val="0"/>
                          <w:jc w:val="both"/>
                          <w:rPr>
                            <w:rFonts w:eastAsia="Calibri"/>
                            <w:lang w:val="uk-UA" w:eastAsia="en-US"/>
                          </w:rPr>
                        </w:pPr>
                        <w:r>
                          <w:rPr>
                            <w:rFonts w:eastAsia="Calibri"/>
                            <w:lang w:val="uk-UA" w:eastAsia="en-US"/>
                          </w:rPr>
                          <w:t>-</w:t>
                        </w:r>
                      </w:p>
                    </w:tc>
                    <w:tc>
                      <w:tcPr>
                        <w:tcW w:w="1410" w:type="dxa"/>
                        <w:shd w:val="clear" w:color="auto" w:fill="auto"/>
                      </w:tcPr>
                      <w:p w:rsidR="003717AB" w:rsidRPr="003717AB" w:rsidRDefault="00BD3AF5" w:rsidP="004047BD">
                        <w:pPr>
                          <w:suppressAutoHyphens w:val="0"/>
                          <w:jc w:val="both"/>
                          <w:rPr>
                            <w:rFonts w:eastAsia="Calibri"/>
                            <w:lang w:val="uk-UA" w:eastAsia="en-US"/>
                          </w:rPr>
                        </w:pPr>
                        <w:r>
                          <w:rPr>
                            <w:rFonts w:eastAsia="Calibri"/>
                            <w:lang w:val="uk-UA" w:eastAsia="en-US"/>
                          </w:rPr>
                          <w:t>-</w:t>
                        </w:r>
                      </w:p>
                    </w:tc>
                  </w:tr>
                </w:tbl>
                <w:p w:rsidR="003717AB" w:rsidRPr="003717AB" w:rsidRDefault="003717AB" w:rsidP="004047BD">
                  <w:pPr>
                    <w:suppressAutoHyphens w:val="0"/>
                    <w:jc w:val="both"/>
                    <w:rPr>
                      <w:rFonts w:ascii="Calibri" w:eastAsia="Calibri" w:hAnsi="Calibri"/>
                      <w:lang w:val="uk-UA" w:eastAsia="en-US"/>
                    </w:rPr>
                  </w:pPr>
                </w:p>
                <w:p w:rsidR="003717AB" w:rsidRPr="003717AB" w:rsidRDefault="003717AB" w:rsidP="00BD3AF5">
                  <w:pPr>
                    <w:suppressAutoHyphens w:val="0"/>
                    <w:jc w:val="both"/>
                    <w:rPr>
                      <w:i/>
                      <w:iCs/>
                      <w:color w:val="000000"/>
                      <w:lang w:val="uk-UA" w:eastAsia="uk-UA"/>
                    </w:rPr>
                  </w:pPr>
                  <w:r w:rsidRPr="003717AB">
                    <w:rPr>
                      <w:rFonts w:ascii="Calibri" w:eastAsia="Calibri" w:hAnsi="Calibri"/>
                      <w:lang w:val="uk-UA" w:eastAsia="en-US"/>
                    </w:rPr>
                    <w:t xml:space="preserve"> </w:t>
                  </w:r>
                  <w:r w:rsidRPr="003717AB">
                    <w:rPr>
                      <w:rFonts w:eastAsia="Calibri"/>
                      <w:lang w:val="uk-UA" w:eastAsia="en-US"/>
                    </w:rPr>
                    <w:t xml:space="preserve">«Інші  поточні зобов’язання»  </w:t>
                  </w:r>
                  <w:r w:rsidR="00BD3AF5">
                    <w:rPr>
                      <w:rFonts w:eastAsia="Calibri"/>
                      <w:lang w:val="uk-UA" w:eastAsia="en-US"/>
                    </w:rPr>
                    <w:t>відсутні.</w:t>
                  </w:r>
                </w:p>
              </w:tc>
              <w:tc>
                <w:tcPr>
                  <w:tcW w:w="236" w:type="dxa"/>
                  <w:tcBorders>
                    <w:top w:val="nil"/>
                    <w:left w:val="nil"/>
                    <w:bottom w:val="nil"/>
                    <w:right w:val="nil"/>
                  </w:tcBorders>
                  <w:shd w:val="clear" w:color="auto" w:fill="auto"/>
                  <w:noWrap/>
                  <w:vAlign w:val="bottom"/>
                </w:tcPr>
                <w:p w:rsidR="003717AB" w:rsidRPr="003717AB" w:rsidRDefault="003717AB" w:rsidP="004047BD">
                  <w:pPr>
                    <w:suppressAutoHyphens w:val="0"/>
                    <w:jc w:val="both"/>
                    <w:rPr>
                      <w:b/>
                      <w:bCs/>
                      <w:color w:val="000000"/>
                      <w:lang w:val="uk-UA" w:eastAsia="uk-UA"/>
                    </w:rPr>
                  </w:pPr>
                </w:p>
              </w:tc>
              <w:tc>
                <w:tcPr>
                  <w:tcW w:w="283" w:type="dxa"/>
                  <w:tcBorders>
                    <w:top w:val="nil"/>
                    <w:left w:val="nil"/>
                    <w:bottom w:val="nil"/>
                    <w:right w:val="nil"/>
                  </w:tcBorders>
                  <w:shd w:val="clear" w:color="auto" w:fill="auto"/>
                  <w:noWrap/>
                  <w:vAlign w:val="bottom"/>
                </w:tcPr>
                <w:p w:rsidR="003717AB" w:rsidRPr="003717AB" w:rsidRDefault="003717AB" w:rsidP="004047BD">
                  <w:pPr>
                    <w:suppressAutoHyphens w:val="0"/>
                    <w:jc w:val="both"/>
                    <w:rPr>
                      <w:color w:val="000000"/>
                      <w:lang w:val="uk-UA" w:eastAsia="uk-UA"/>
                    </w:rPr>
                  </w:pPr>
                </w:p>
              </w:tc>
              <w:tc>
                <w:tcPr>
                  <w:tcW w:w="1296" w:type="dxa"/>
                  <w:tcBorders>
                    <w:top w:val="nil"/>
                    <w:left w:val="nil"/>
                    <w:bottom w:val="nil"/>
                    <w:right w:val="nil"/>
                  </w:tcBorders>
                  <w:shd w:val="clear" w:color="auto" w:fill="auto"/>
                  <w:noWrap/>
                  <w:vAlign w:val="bottom"/>
                </w:tcPr>
                <w:p w:rsidR="003717AB" w:rsidRPr="003717AB" w:rsidRDefault="003717AB" w:rsidP="004047BD">
                  <w:pPr>
                    <w:suppressAutoHyphens w:val="0"/>
                    <w:jc w:val="both"/>
                    <w:rPr>
                      <w:color w:val="000000"/>
                      <w:lang w:val="uk-UA" w:eastAsia="uk-UA"/>
                    </w:rPr>
                  </w:pPr>
                </w:p>
              </w:tc>
            </w:tr>
          </w:tbl>
          <w:p w:rsidR="003717AB" w:rsidRPr="003717AB" w:rsidRDefault="003717AB" w:rsidP="004047BD">
            <w:pPr>
              <w:suppressAutoHyphens w:val="0"/>
              <w:jc w:val="both"/>
              <w:rPr>
                <w:color w:val="000000"/>
                <w:lang w:val="uk-UA" w:eastAsia="uk-UA"/>
              </w:rPr>
            </w:pPr>
          </w:p>
        </w:tc>
        <w:tc>
          <w:tcPr>
            <w:tcW w:w="1276" w:type="dxa"/>
            <w:tcBorders>
              <w:top w:val="nil"/>
              <w:left w:val="nil"/>
              <w:bottom w:val="nil"/>
              <w:right w:val="nil"/>
            </w:tcBorders>
            <w:shd w:val="clear" w:color="auto" w:fill="auto"/>
            <w:noWrap/>
            <w:vAlign w:val="bottom"/>
          </w:tcPr>
          <w:p w:rsidR="003717AB" w:rsidRPr="003717AB" w:rsidRDefault="003717AB" w:rsidP="004047BD">
            <w:pPr>
              <w:suppressAutoHyphens w:val="0"/>
              <w:jc w:val="both"/>
              <w:rPr>
                <w:color w:val="000000"/>
                <w:lang w:val="uk-UA" w:eastAsia="uk-UA"/>
              </w:rPr>
            </w:pPr>
          </w:p>
        </w:tc>
        <w:tc>
          <w:tcPr>
            <w:tcW w:w="283" w:type="dxa"/>
            <w:tcBorders>
              <w:top w:val="nil"/>
              <w:left w:val="nil"/>
              <w:bottom w:val="nil"/>
              <w:right w:val="nil"/>
            </w:tcBorders>
            <w:shd w:val="clear" w:color="auto" w:fill="auto"/>
            <w:noWrap/>
            <w:vAlign w:val="bottom"/>
          </w:tcPr>
          <w:p w:rsidR="003717AB" w:rsidRPr="003717AB" w:rsidRDefault="003717AB" w:rsidP="004047BD">
            <w:pPr>
              <w:suppressAutoHyphens w:val="0"/>
              <w:jc w:val="both"/>
              <w:rPr>
                <w:color w:val="000000"/>
                <w:lang w:val="uk-UA" w:eastAsia="uk-UA"/>
              </w:rPr>
            </w:pPr>
          </w:p>
        </w:tc>
        <w:tc>
          <w:tcPr>
            <w:tcW w:w="1296" w:type="dxa"/>
            <w:tcBorders>
              <w:top w:val="nil"/>
              <w:left w:val="nil"/>
              <w:bottom w:val="nil"/>
              <w:right w:val="nil"/>
            </w:tcBorders>
            <w:shd w:val="clear" w:color="auto" w:fill="auto"/>
            <w:noWrap/>
            <w:vAlign w:val="bottom"/>
          </w:tcPr>
          <w:p w:rsidR="003717AB" w:rsidRPr="003717AB" w:rsidRDefault="003717AB" w:rsidP="004047BD">
            <w:pPr>
              <w:suppressAutoHyphens w:val="0"/>
              <w:jc w:val="both"/>
              <w:rPr>
                <w:color w:val="000000"/>
                <w:lang w:val="uk-UA" w:eastAsia="uk-UA"/>
              </w:rPr>
            </w:pPr>
          </w:p>
        </w:tc>
      </w:tr>
    </w:tbl>
    <w:p w:rsidR="003717AB" w:rsidRPr="003717AB" w:rsidRDefault="00357A2C" w:rsidP="004047BD">
      <w:pPr>
        <w:suppressAutoHyphens w:val="0"/>
        <w:autoSpaceDE w:val="0"/>
        <w:autoSpaceDN w:val="0"/>
        <w:adjustRightInd w:val="0"/>
        <w:spacing w:before="240"/>
        <w:jc w:val="both"/>
        <w:rPr>
          <w:rFonts w:eastAsia="Calibri"/>
          <w:b/>
          <w:lang w:val="uk-UA" w:eastAsia="en-US"/>
        </w:rPr>
      </w:pPr>
      <w:r>
        <w:rPr>
          <w:rFonts w:eastAsia="Calibri"/>
          <w:b/>
          <w:lang w:val="uk-UA" w:eastAsia="en-US"/>
        </w:rPr>
        <w:t>5</w:t>
      </w:r>
      <w:r w:rsidR="00F71119">
        <w:rPr>
          <w:rFonts w:eastAsia="Calibri"/>
          <w:b/>
          <w:lang w:val="uk-UA" w:eastAsia="en-US"/>
        </w:rPr>
        <w:t>.7.</w:t>
      </w:r>
      <w:r w:rsidR="003717AB" w:rsidRPr="003717AB">
        <w:rPr>
          <w:rFonts w:eastAsia="Calibri"/>
          <w:b/>
          <w:lang w:val="uk-UA" w:eastAsia="en-US"/>
        </w:rPr>
        <w:t xml:space="preserve"> Доходи</w:t>
      </w:r>
    </w:p>
    <w:p w:rsidR="003717AB" w:rsidRPr="003717AB" w:rsidRDefault="003717AB" w:rsidP="004047BD">
      <w:pPr>
        <w:suppressAutoHyphens w:val="0"/>
        <w:autoSpaceDE w:val="0"/>
        <w:autoSpaceDN w:val="0"/>
        <w:adjustRightInd w:val="0"/>
        <w:spacing w:before="240"/>
        <w:jc w:val="both"/>
        <w:rPr>
          <w:rFonts w:eastAsia="Calibri"/>
          <w:lang w:val="uk-UA" w:eastAsia="en-US"/>
        </w:rPr>
      </w:pPr>
      <w:r w:rsidRPr="003717AB">
        <w:rPr>
          <w:rFonts w:eastAsia="Calibri"/>
          <w:lang w:val="uk-UA" w:eastAsia="en-US"/>
        </w:rPr>
        <w:t xml:space="preserve">Облік доходів від звичайної діяльності Товариства ведеться у відповідності до норм МСБО 18 «Дохід» </w:t>
      </w:r>
    </w:p>
    <w:p w:rsidR="003717AB" w:rsidRPr="003717AB" w:rsidRDefault="003717AB" w:rsidP="004047BD">
      <w:pPr>
        <w:tabs>
          <w:tab w:val="left" w:pos="426"/>
        </w:tabs>
        <w:suppressAutoHyphens w:val="0"/>
        <w:autoSpaceDE w:val="0"/>
        <w:autoSpaceDN w:val="0"/>
        <w:adjustRightInd w:val="0"/>
        <w:spacing w:before="240" w:after="240"/>
        <w:contextualSpacing/>
        <w:jc w:val="both"/>
        <w:rPr>
          <w:rFonts w:eastAsia="Calibri"/>
          <w:lang w:val="uk-UA" w:eastAsia="en-US"/>
        </w:rPr>
      </w:pPr>
      <w:r w:rsidRPr="003717AB">
        <w:rPr>
          <w:rFonts w:eastAsia="Calibri"/>
          <w:lang w:val="uk-UA" w:eastAsia="en-US"/>
        </w:rPr>
        <w:t xml:space="preserve">Доходи від реалізації виконаних робіт, послуг визнаються у звітному періоді на дату підписання актів виконаних робіт, коли замовником прийняті виконані роботи, послуги у повному обсязі. </w:t>
      </w:r>
    </w:p>
    <w:p w:rsidR="003717AB" w:rsidRPr="003717AB" w:rsidRDefault="003717AB" w:rsidP="004047BD">
      <w:pPr>
        <w:tabs>
          <w:tab w:val="left" w:pos="426"/>
        </w:tabs>
        <w:suppressAutoHyphens w:val="0"/>
        <w:autoSpaceDE w:val="0"/>
        <w:autoSpaceDN w:val="0"/>
        <w:adjustRightInd w:val="0"/>
        <w:spacing w:before="240" w:after="240"/>
        <w:contextualSpacing/>
        <w:jc w:val="both"/>
        <w:rPr>
          <w:rFonts w:eastAsia="Calibri"/>
          <w:b/>
          <w:lang w:val="uk-UA" w:eastAsia="en-US"/>
        </w:rPr>
      </w:pPr>
      <w:r w:rsidRPr="003717AB">
        <w:rPr>
          <w:rFonts w:eastAsia="Calibri"/>
          <w:b/>
          <w:lang w:val="uk-UA" w:eastAsia="en-US"/>
        </w:rPr>
        <w:t>Дохід від реалізації робіт та послуг</w:t>
      </w:r>
    </w:p>
    <w:p w:rsidR="003717AB" w:rsidRPr="003717AB" w:rsidRDefault="003717AB" w:rsidP="004047BD">
      <w:pPr>
        <w:suppressAutoHyphens w:val="0"/>
        <w:autoSpaceDE w:val="0"/>
        <w:autoSpaceDN w:val="0"/>
        <w:adjustRightInd w:val="0"/>
        <w:spacing w:before="240" w:after="240"/>
        <w:jc w:val="both"/>
        <w:rPr>
          <w:rFonts w:eastAsia="Calibri"/>
          <w:lang w:val="uk-UA" w:eastAsia="en-US"/>
        </w:rPr>
      </w:pPr>
      <w:r w:rsidRPr="003717AB">
        <w:rPr>
          <w:rFonts w:eastAsia="Calibri"/>
          <w:lang w:val="uk-UA" w:eastAsia="en-US"/>
        </w:rPr>
        <w:t>Склад доходів від реалізації товарів та послуг, що були отриманні за рік</w:t>
      </w:r>
      <w:r w:rsidR="0061535E">
        <w:rPr>
          <w:rFonts w:eastAsia="Calibri"/>
          <w:lang w:val="uk-UA" w:eastAsia="en-US"/>
        </w:rPr>
        <w:t>, що закінчується 31 грудня 2017</w:t>
      </w:r>
      <w:r w:rsidRPr="003717AB">
        <w:rPr>
          <w:rFonts w:eastAsia="Calibri"/>
          <w:lang w:val="uk-UA" w:eastAsia="en-US"/>
        </w:rPr>
        <w:t xml:space="preserve"> року:</w:t>
      </w:r>
    </w:p>
    <w:tbl>
      <w:tblPr>
        <w:tblW w:w="12575" w:type="dxa"/>
        <w:tblInd w:w="93" w:type="dxa"/>
        <w:tblLook w:val="04A0" w:firstRow="1" w:lastRow="0" w:firstColumn="1" w:lastColumn="0" w:noHBand="0" w:noVBand="1"/>
      </w:tblPr>
      <w:tblGrid>
        <w:gridCol w:w="9720"/>
        <w:gridCol w:w="1276"/>
        <w:gridCol w:w="283"/>
        <w:gridCol w:w="1296"/>
      </w:tblGrid>
      <w:tr w:rsidR="003717AB" w:rsidRPr="003717AB" w:rsidTr="00C50B25">
        <w:trPr>
          <w:trHeight w:val="315"/>
        </w:trPr>
        <w:tc>
          <w:tcPr>
            <w:tcW w:w="9720" w:type="dxa"/>
            <w:tcBorders>
              <w:top w:val="nil"/>
              <w:left w:val="nil"/>
              <w:bottom w:val="nil"/>
              <w:right w:val="nil"/>
            </w:tcBorders>
            <w:shd w:val="clear" w:color="auto" w:fill="auto"/>
            <w:noWrap/>
            <w:vAlign w:val="bottom"/>
          </w:tcPr>
          <w:p w:rsidR="003717AB" w:rsidRPr="003717AB" w:rsidRDefault="003717AB" w:rsidP="004047BD">
            <w:pPr>
              <w:suppressAutoHyphens w:val="0"/>
              <w:jc w:val="both"/>
              <w:rPr>
                <w:rFonts w:eastAsia="Calibri"/>
                <w:lang w:val="uk-UA" w:eastAsia="en-US"/>
              </w:rPr>
            </w:pPr>
            <w:r w:rsidRPr="003717AB">
              <w:rPr>
                <w:rFonts w:eastAsia="Calibri"/>
                <w:i/>
                <w:lang w:val="uk-UA" w:eastAsia="en-US"/>
              </w:rPr>
              <w:t xml:space="preserve">                                                                                             тис. грн</w:t>
            </w:r>
            <w:r w:rsidRPr="003717AB">
              <w:rPr>
                <w:rFonts w:eastAsia="Calibri"/>
                <w:lang w:val="uk-UA"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1417"/>
              <w:gridCol w:w="1418"/>
            </w:tblGrid>
            <w:tr w:rsidR="003717AB" w:rsidRPr="003717AB" w:rsidTr="00C50B25">
              <w:tc>
                <w:tcPr>
                  <w:tcW w:w="3619" w:type="dxa"/>
                  <w:shd w:val="clear" w:color="auto" w:fill="auto"/>
                </w:tcPr>
                <w:p w:rsidR="003717AB" w:rsidRPr="003717AB" w:rsidRDefault="003717AB" w:rsidP="004047BD">
                  <w:pPr>
                    <w:suppressAutoHyphens w:val="0"/>
                    <w:jc w:val="both"/>
                    <w:rPr>
                      <w:rFonts w:eastAsia="Calibri"/>
                      <w:i/>
                      <w:lang w:val="uk-UA" w:eastAsia="en-US"/>
                    </w:rPr>
                  </w:pPr>
                  <w:r w:rsidRPr="003717AB">
                    <w:rPr>
                      <w:rFonts w:eastAsia="Calibri"/>
                      <w:i/>
                      <w:lang w:val="uk-UA" w:eastAsia="en-US"/>
                    </w:rPr>
                    <w:t>Види продукції (послуг)</w:t>
                  </w:r>
                </w:p>
              </w:tc>
              <w:tc>
                <w:tcPr>
                  <w:tcW w:w="1417" w:type="dxa"/>
                  <w:shd w:val="clear" w:color="auto" w:fill="auto"/>
                  <w:vAlign w:val="bottom"/>
                </w:tcPr>
                <w:p w:rsidR="003717AB" w:rsidRPr="003717AB" w:rsidRDefault="003717AB" w:rsidP="004047BD">
                  <w:pPr>
                    <w:suppressAutoHyphens w:val="0"/>
                    <w:jc w:val="both"/>
                    <w:rPr>
                      <w:b/>
                      <w:bCs/>
                      <w:color w:val="000000"/>
                      <w:lang w:val="uk-UA" w:eastAsia="uk-UA"/>
                    </w:rPr>
                  </w:pPr>
                  <w:r w:rsidRPr="003717AB">
                    <w:rPr>
                      <w:b/>
                      <w:bCs/>
                      <w:color w:val="000000"/>
                      <w:lang w:val="uk-UA" w:eastAsia="uk-UA"/>
                    </w:rPr>
                    <w:t>2016</w:t>
                  </w:r>
                </w:p>
              </w:tc>
              <w:tc>
                <w:tcPr>
                  <w:tcW w:w="1418" w:type="dxa"/>
                  <w:shd w:val="clear" w:color="auto" w:fill="auto"/>
                  <w:vAlign w:val="bottom"/>
                </w:tcPr>
                <w:p w:rsidR="003717AB" w:rsidRPr="003717AB" w:rsidRDefault="00BD5862" w:rsidP="004047BD">
                  <w:pPr>
                    <w:suppressAutoHyphens w:val="0"/>
                    <w:jc w:val="both"/>
                    <w:rPr>
                      <w:b/>
                      <w:bCs/>
                      <w:color w:val="000000"/>
                      <w:lang w:val="uk-UA" w:eastAsia="uk-UA"/>
                    </w:rPr>
                  </w:pPr>
                  <w:r>
                    <w:rPr>
                      <w:b/>
                      <w:bCs/>
                      <w:color w:val="000000"/>
                      <w:lang w:val="uk-UA" w:eastAsia="uk-UA"/>
                    </w:rPr>
                    <w:t>2017</w:t>
                  </w:r>
                </w:p>
              </w:tc>
            </w:tr>
            <w:tr w:rsidR="003717AB" w:rsidRPr="003717AB" w:rsidTr="00C50B25">
              <w:tc>
                <w:tcPr>
                  <w:tcW w:w="3619" w:type="dxa"/>
                  <w:shd w:val="clear" w:color="auto" w:fill="auto"/>
                  <w:vAlign w:val="bottom"/>
                </w:tcPr>
                <w:p w:rsidR="003717AB" w:rsidRPr="003717AB" w:rsidRDefault="003717AB" w:rsidP="0089260A">
                  <w:pPr>
                    <w:suppressAutoHyphens w:val="0"/>
                    <w:jc w:val="both"/>
                    <w:rPr>
                      <w:color w:val="000000"/>
                      <w:lang w:val="uk-UA" w:eastAsia="uk-UA"/>
                    </w:rPr>
                  </w:pPr>
                  <w:r w:rsidRPr="003717AB">
                    <w:rPr>
                      <w:color w:val="000000"/>
                      <w:lang w:val="uk-UA" w:eastAsia="uk-UA"/>
                    </w:rPr>
                    <w:t xml:space="preserve">Виконані </w:t>
                  </w:r>
                  <w:r w:rsidR="0089260A">
                    <w:rPr>
                      <w:color w:val="000000"/>
                      <w:lang w:val="uk-UA" w:eastAsia="uk-UA"/>
                    </w:rPr>
                    <w:t>послуги</w:t>
                  </w:r>
                </w:p>
              </w:tc>
              <w:tc>
                <w:tcPr>
                  <w:tcW w:w="1417" w:type="dxa"/>
                  <w:shd w:val="clear" w:color="auto" w:fill="auto"/>
                </w:tcPr>
                <w:p w:rsidR="003717AB" w:rsidRPr="003717AB" w:rsidRDefault="0089260A" w:rsidP="004047BD">
                  <w:pPr>
                    <w:suppressAutoHyphens w:val="0"/>
                    <w:jc w:val="both"/>
                    <w:rPr>
                      <w:rFonts w:eastAsia="Calibri"/>
                      <w:lang w:val="uk-UA" w:eastAsia="en-US"/>
                    </w:rPr>
                  </w:pPr>
                  <w:r>
                    <w:rPr>
                      <w:rFonts w:eastAsia="Calibri"/>
                      <w:lang w:val="uk-UA" w:eastAsia="en-US"/>
                    </w:rPr>
                    <w:t>1162</w:t>
                  </w:r>
                </w:p>
              </w:tc>
              <w:tc>
                <w:tcPr>
                  <w:tcW w:w="1418" w:type="dxa"/>
                  <w:shd w:val="clear" w:color="auto" w:fill="auto"/>
                </w:tcPr>
                <w:p w:rsidR="003717AB" w:rsidRPr="003717AB" w:rsidRDefault="0061535E" w:rsidP="004047BD">
                  <w:pPr>
                    <w:suppressAutoHyphens w:val="0"/>
                    <w:jc w:val="both"/>
                    <w:rPr>
                      <w:rFonts w:eastAsia="Calibri"/>
                      <w:lang w:val="uk-UA" w:eastAsia="en-US"/>
                    </w:rPr>
                  </w:pPr>
                  <w:r>
                    <w:rPr>
                      <w:rFonts w:eastAsia="Calibri"/>
                      <w:lang w:val="uk-UA" w:eastAsia="en-US"/>
                    </w:rPr>
                    <w:t>1170</w:t>
                  </w:r>
                </w:p>
              </w:tc>
            </w:tr>
            <w:tr w:rsidR="003717AB" w:rsidRPr="003717AB" w:rsidTr="00C50B25">
              <w:tc>
                <w:tcPr>
                  <w:tcW w:w="3619" w:type="dxa"/>
                  <w:shd w:val="clear" w:color="auto" w:fill="auto"/>
                  <w:vAlign w:val="bottom"/>
                </w:tcPr>
                <w:p w:rsidR="003717AB" w:rsidRPr="003717AB" w:rsidRDefault="003717AB" w:rsidP="004047BD">
                  <w:pPr>
                    <w:suppressAutoHyphens w:val="0"/>
                    <w:jc w:val="both"/>
                    <w:rPr>
                      <w:color w:val="000000"/>
                      <w:lang w:val="uk-UA" w:eastAsia="uk-UA"/>
                    </w:rPr>
                  </w:pPr>
                  <w:r w:rsidRPr="003717AB">
                    <w:rPr>
                      <w:color w:val="000000"/>
                      <w:lang w:val="uk-UA" w:eastAsia="uk-UA"/>
                    </w:rPr>
                    <w:t>Соб</w:t>
                  </w:r>
                  <w:r w:rsidR="0089260A">
                    <w:rPr>
                      <w:color w:val="000000"/>
                      <w:lang w:val="uk-UA" w:eastAsia="uk-UA"/>
                    </w:rPr>
                    <w:t>івартість реалізованих послуг</w:t>
                  </w:r>
                </w:p>
              </w:tc>
              <w:tc>
                <w:tcPr>
                  <w:tcW w:w="1417" w:type="dxa"/>
                  <w:shd w:val="clear" w:color="auto" w:fill="auto"/>
                </w:tcPr>
                <w:p w:rsidR="003717AB" w:rsidRPr="003717AB" w:rsidRDefault="0089260A" w:rsidP="004047BD">
                  <w:pPr>
                    <w:suppressAutoHyphens w:val="0"/>
                    <w:jc w:val="both"/>
                    <w:rPr>
                      <w:rFonts w:eastAsia="Calibri"/>
                      <w:lang w:val="uk-UA" w:eastAsia="en-US"/>
                    </w:rPr>
                  </w:pPr>
                  <w:r>
                    <w:rPr>
                      <w:rFonts w:eastAsia="Calibri"/>
                      <w:lang w:val="uk-UA" w:eastAsia="en-US"/>
                    </w:rPr>
                    <w:t>51</w:t>
                  </w:r>
                </w:p>
              </w:tc>
              <w:tc>
                <w:tcPr>
                  <w:tcW w:w="1418" w:type="dxa"/>
                  <w:shd w:val="clear" w:color="auto" w:fill="auto"/>
                </w:tcPr>
                <w:p w:rsidR="003717AB" w:rsidRPr="003717AB" w:rsidRDefault="0061535E" w:rsidP="004047BD">
                  <w:pPr>
                    <w:suppressAutoHyphens w:val="0"/>
                    <w:jc w:val="both"/>
                    <w:rPr>
                      <w:rFonts w:eastAsia="Calibri"/>
                      <w:lang w:val="uk-UA" w:eastAsia="en-US"/>
                    </w:rPr>
                  </w:pPr>
                  <w:r>
                    <w:rPr>
                      <w:rFonts w:eastAsia="Calibri"/>
                      <w:lang w:val="uk-UA" w:eastAsia="en-US"/>
                    </w:rPr>
                    <w:t>62</w:t>
                  </w:r>
                </w:p>
              </w:tc>
            </w:tr>
          </w:tbl>
          <w:p w:rsidR="003717AB" w:rsidRPr="003717AB" w:rsidRDefault="003717AB" w:rsidP="004047BD">
            <w:pPr>
              <w:suppressAutoHyphens w:val="0"/>
              <w:jc w:val="both"/>
              <w:rPr>
                <w:i/>
                <w:iCs/>
                <w:color w:val="000000"/>
                <w:sz w:val="20"/>
                <w:szCs w:val="20"/>
                <w:lang w:val="uk-UA" w:eastAsia="uk-UA"/>
              </w:rPr>
            </w:pPr>
          </w:p>
        </w:tc>
        <w:tc>
          <w:tcPr>
            <w:tcW w:w="1276" w:type="dxa"/>
            <w:tcBorders>
              <w:top w:val="nil"/>
              <w:left w:val="nil"/>
              <w:bottom w:val="nil"/>
              <w:right w:val="nil"/>
            </w:tcBorders>
            <w:shd w:val="clear" w:color="auto" w:fill="auto"/>
            <w:noWrap/>
            <w:vAlign w:val="bottom"/>
          </w:tcPr>
          <w:p w:rsidR="003717AB" w:rsidRPr="003717AB" w:rsidRDefault="003717AB" w:rsidP="004047BD">
            <w:pPr>
              <w:suppressAutoHyphens w:val="0"/>
              <w:jc w:val="both"/>
              <w:rPr>
                <w:b/>
                <w:bCs/>
                <w:color w:val="000000"/>
                <w:lang w:val="uk-UA" w:eastAsia="uk-UA"/>
              </w:rPr>
            </w:pPr>
          </w:p>
        </w:tc>
        <w:tc>
          <w:tcPr>
            <w:tcW w:w="283" w:type="dxa"/>
            <w:tcBorders>
              <w:top w:val="nil"/>
              <w:left w:val="nil"/>
              <w:bottom w:val="nil"/>
              <w:right w:val="nil"/>
            </w:tcBorders>
            <w:shd w:val="clear" w:color="auto" w:fill="auto"/>
            <w:noWrap/>
            <w:vAlign w:val="bottom"/>
          </w:tcPr>
          <w:p w:rsidR="003717AB" w:rsidRPr="003717AB" w:rsidRDefault="003717AB" w:rsidP="004047BD">
            <w:pPr>
              <w:suppressAutoHyphens w:val="0"/>
              <w:jc w:val="both"/>
              <w:rPr>
                <w:b/>
                <w:bCs/>
                <w:color w:val="000000"/>
                <w:lang w:val="uk-UA" w:eastAsia="uk-UA"/>
              </w:rPr>
            </w:pPr>
          </w:p>
        </w:tc>
        <w:tc>
          <w:tcPr>
            <w:tcW w:w="1296" w:type="dxa"/>
            <w:tcBorders>
              <w:top w:val="nil"/>
              <w:left w:val="nil"/>
              <w:bottom w:val="nil"/>
              <w:right w:val="nil"/>
            </w:tcBorders>
            <w:shd w:val="clear" w:color="auto" w:fill="auto"/>
            <w:noWrap/>
            <w:vAlign w:val="bottom"/>
          </w:tcPr>
          <w:p w:rsidR="003717AB" w:rsidRPr="003717AB" w:rsidRDefault="003717AB" w:rsidP="004047BD">
            <w:pPr>
              <w:suppressAutoHyphens w:val="0"/>
              <w:jc w:val="both"/>
              <w:rPr>
                <w:b/>
                <w:bCs/>
                <w:color w:val="000000"/>
                <w:lang w:val="uk-UA" w:eastAsia="uk-UA"/>
              </w:rPr>
            </w:pPr>
          </w:p>
        </w:tc>
      </w:tr>
    </w:tbl>
    <w:p w:rsidR="003717AB" w:rsidRPr="003717AB" w:rsidRDefault="003717AB" w:rsidP="004047BD">
      <w:pPr>
        <w:tabs>
          <w:tab w:val="left" w:pos="426"/>
        </w:tabs>
        <w:suppressAutoHyphens w:val="0"/>
        <w:autoSpaceDE w:val="0"/>
        <w:autoSpaceDN w:val="0"/>
        <w:adjustRightInd w:val="0"/>
        <w:spacing w:before="240" w:after="240"/>
        <w:contextualSpacing/>
        <w:jc w:val="both"/>
        <w:rPr>
          <w:rFonts w:eastAsia="Calibri"/>
          <w:b/>
          <w:lang w:eastAsia="en-US"/>
        </w:rPr>
      </w:pPr>
    </w:p>
    <w:p w:rsidR="003717AB" w:rsidRPr="003717AB" w:rsidRDefault="003717AB" w:rsidP="004047BD">
      <w:pPr>
        <w:tabs>
          <w:tab w:val="left" w:pos="426"/>
        </w:tabs>
        <w:suppressAutoHyphens w:val="0"/>
        <w:autoSpaceDE w:val="0"/>
        <w:autoSpaceDN w:val="0"/>
        <w:adjustRightInd w:val="0"/>
        <w:spacing w:before="240" w:after="240"/>
        <w:contextualSpacing/>
        <w:jc w:val="both"/>
        <w:rPr>
          <w:rFonts w:eastAsia="Calibri"/>
          <w:b/>
          <w:lang w:eastAsia="en-US"/>
        </w:rPr>
      </w:pPr>
    </w:p>
    <w:p w:rsidR="003717AB" w:rsidRPr="003717AB" w:rsidRDefault="00357A2C" w:rsidP="004047BD">
      <w:pPr>
        <w:tabs>
          <w:tab w:val="left" w:pos="426"/>
        </w:tabs>
        <w:suppressAutoHyphens w:val="0"/>
        <w:autoSpaceDE w:val="0"/>
        <w:autoSpaceDN w:val="0"/>
        <w:adjustRightInd w:val="0"/>
        <w:spacing w:before="240" w:after="240"/>
        <w:ind w:left="360"/>
        <w:contextualSpacing/>
        <w:jc w:val="both"/>
        <w:rPr>
          <w:rFonts w:eastAsia="Calibri"/>
          <w:b/>
          <w:lang w:val="uk-UA" w:eastAsia="en-US"/>
        </w:rPr>
      </w:pPr>
      <w:r>
        <w:rPr>
          <w:rFonts w:eastAsia="Calibri"/>
          <w:b/>
          <w:lang w:val="uk-UA" w:eastAsia="en-US"/>
        </w:rPr>
        <w:t>5</w:t>
      </w:r>
      <w:r w:rsidR="00F71119">
        <w:rPr>
          <w:rFonts w:eastAsia="Calibri"/>
          <w:b/>
          <w:lang w:val="uk-UA" w:eastAsia="en-US"/>
        </w:rPr>
        <w:t>.8</w:t>
      </w:r>
      <w:r w:rsidR="003717AB" w:rsidRPr="003717AB">
        <w:rPr>
          <w:rFonts w:eastAsia="Calibri"/>
          <w:b/>
          <w:lang w:val="uk-UA" w:eastAsia="en-US"/>
        </w:rPr>
        <w:t>.Інші операційні доходи (витрати)</w:t>
      </w:r>
    </w:p>
    <w:tbl>
      <w:tblPr>
        <w:tblW w:w="11360" w:type="dxa"/>
        <w:tblInd w:w="93" w:type="dxa"/>
        <w:tblLook w:val="04A0" w:firstRow="1" w:lastRow="0" w:firstColumn="1" w:lastColumn="0" w:noHBand="0" w:noVBand="1"/>
      </w:tblPr>
      <w:tblGrid>
        <w:gridCol w:w="10080"/>
        <w:gridCol w:w="1280"/>
      </w:tblGrid>
      <w:tr w:rsidR="003717AB" w:rsidRPr="003717AB" w:rsidTr="00C50B25">
        <w:trPr>
          <w:trHeight w:val="315"/>
        </w:trPr>
        <w:tc>
          <w:tcPr>
            <w:tcW w:w="10080" w:type="dxa"/>
            <w:tcBorders>
              <w:top w:val="nil"/>
              <w:left w:val="nil"/>
              <w:bottom w:val="nil"/>
              <w:right w:val="nil"/>
            </w:tcBorders>
            <w:shd w:val="clear" w:color="auto" w:fill="auto"/>
            <w:noWrap/>
            <w:vAlign w:val="bottom"/>
          </w:tcPr>
          <w:p w:rsidR="003717AB" w:rsidRPr="003717AB" w:rsidRDefault="00B35D0F" w:rsidP="004047BD">
            <w:pPr>
              <w:suppressAutoHyphens w:val="0"/>
              <w:jc w:val="both"/>
              <w:rPr>
                <w:rFonts w:eastAsia="Calibri"/>
                <w:i/>
                <w:lang w:eastAsia="en-US"/>
              </w:rPr>
            </w:pPr>
            <w:r>
              <w:rPr>
                <w:rFonts w:eastAsia="Calibri"/>
                <w:lang w:val="uk-UA" w:eastAsia="en-US"/>
              </w:rPr>
              <w:t>Інших операційних доходів</w:t>
            </w:r>
            <w:r w:rsidR="003717AB" w:rsidRPr="003717AB">
              <w:rPr>
                <w:rFonts w:eastAsia="Calibri"/>
                <w:lang w:val="uk-UA" w:eastAsia="en-US"/>
              </w:rPr>
              <w:t xml:space="preserve">  </w:t>
            </w:r>
            <w:r w:rsidR="00ED0D46">
              <w:rPr>
                <w:rFonts w:eastAsia="Calibri"/>
                <w:lang w:val="uk-UA" w:eastAsia="en-US"/>
              </w:rPr>
              <w:t>у 2017</w:t>
            </w:r>
            <w:r>
              <w:rPr>
                <w:rFonts w:eastAsia="Calibri"/>
                <w:lang w:val="uk-UA" w:eastAsia="en-US"/>
              </w:rPr>
              <w:t xml:space="preserve"> р. не було.</w:t>
            </w:r>
            <w:r w:rsidR="003717AB" w:rsidRPr="003717AB">
              <w:rPr>
                <w:rFonts w:eastAsia="Calibri"/>
                <w:i/>
                <w:lang w:eastAsia="en-US"/>
              </w:rPr>
              <w:t xml:space="preserve">                                                                                                                                         </w:t>
            </w:r>
          </w:p>
          <w:p w:rsidR="003717AB" w:rsidRPr="003717AB" w:rsidRDefault="003717AB" w:rsidP="004047BD">
            <w:pPr>
              <w:suppressAutoHyphens w:val="0"/>
              <w:jc w:val="both"/>
              <w:rPr>
                <w:i/>
                <w:iCs/>
                <w:color w:val="000000"/>
                <w:sz w:val="20"/>
                <w:szCs w:val="20"/>
                <w:lang w:eastAsia="uk-UA"/>
              </w:rPr>
            </w:pPr>
          </w:p>
        </w:tc>
        <w:tc>
          <w:tcPr>
            <w:tcW w:w="1280" w:type="dxa"/>
            <w:tcBorders>
              <w:top w:val="nil"/>
              <w:left w:val="nil"/>
              <w:bottom w:val="nil"/>
              <w:right w:val="nil"/>
            </w:tcBorders>
            <w:shd w:val="clear" w:color="auto" w:fill="auto"/>
            <w:noWrap/>
            <w:vAlign w:val="bottom"/>
          </w:tcPr>
          <w:p w:rsidR="003717AB" w:rsidRPr="003717AB" w:rsidRDefault="003717AB" w:rsidP="004047BD">
            <w:pPr>
              <w:suppressAutoHyphens w:val="0"/>
              <w:jc w:val="both"/>
              <w:rPr>
                <w:b/>
                <w:bCs/>
                <w:color w:val="000000"/>
                <w:lang w:val="uk-UA" w:eastAsia="uk-UA"/>
              </w:rPr>
            </w:pPr>
          </w:p>
        </w:tc>
      </w:tr>
    </w:tbl>
    <w:p w:rsidR="003717AB" w:rsidRPr="003717AB" w:rsidRDefault="00357A2C" w:rsidP="004047BD">
      <w:pPr>
        <w:suppressAutoHyphens w:val="0"/>
        <w:autoSpaceDE w:val="0"/>
        <w:autoSpaceDN w:val="0"/>
        <w:adjustRightInd w:val="0"/>
        <w:spacing w:before="240"/>
        <w:jc w:val="both"/>
        <w:rPr>
          <w:rFonts w:eastAsia="Calibri"/>
          <w:b/>
          <w:lang w:val="uk-UA" w:eastAsia="en-US"/>
        </w:rPr>
      </w:pPr>
      <w:r>
        <w:rPr>
          <w:rFonts w:eastAsia="Calibri"/>
          <w:b/>
          <w:lang w:val="uk-UA" w:eastAsia="en-US"/>
        </w:rPr>
        <w:t>5</w:t>
      </w:r>
      <w:r w:rsidR="00F71119">
        <w:rPr>
          <w:rFonts w:eastAsia="Calibri"/>
          <w:b/>
          <w:lang w:val="uk-UA" w:eastAsia="en-US"/>
        </w:rPr>
        <w:t>.9</w:t>
      </w:r>
      <w:r w:rsidR="00B35D0F">
        <w:rPr>
          <w:rFonts w:eastAsia="Calibri"/>
          <w:b/>
          <w:lang w:val="uk-UA" w:eastAsia="en-US"/>
        </w:rPr>
        <w:t>. Витрати</w:t>
      </w:r>
    </w:p>
    <w:p w:rsidR="003717AB" w:rsidRPr="003717AB" w:rsidRDefault="00B35D0F" w:rsidP="004047BD">
      <w:pPr>
        <w:suppressAutoHyphens w:val="0"/>
        <w:autoSpaceDE w:val="0"/>
        <w:autoSpaceDN w:val="0"/>
        <w:adjustRightInd w:val="0"/>
        <w:spacing w:before="240"/>
        <w:jc w:val="both"/>
        <w:rPr>
          <w:rFonts w:eastAsia="Calibri"/>
          <w:lang w:val="uk-UA" w:eastAsia="en-US"/>
        </w:rPr>
      </w:pPr>
      <w:r>
        <w:rPr>
          <w:rFonts w:eastAsia="Calibri"/>
          <w:lang w:val="uk-UA" w:eastAsia="en-US"/>
        </w:rPr>
        <w:t>Вит</w:t>
      </w:r>
      <w:r w:rsidR="003717AB" w:rsidRPr="003717AB">
        <w:rPr>
          <w:rFonts w:eastAsia="Calibri"/>
          <w:lang w:val="uk-UA" w:eastAsia="en-US"/>
        </w:rPr>
        <w:t>рати також відображаються за методом нарахування.</w:t>
      </w:r>
    </w:p>
    <w:tbl>
      <w:tblPr>
        <w:tblW w:w="11930" w:type="dxa"/>
        <w:tblInd w:w="93" w:type="dxa"/>
        <w:tblLook w:val="04A0" w:firstRow="1" w:lastRow="0" w:firstColumn="1" w:lastColumn="0" w:noHBand="0" w:noVBand="1"/>
      </w:tblPr>
      <w:tblGrid>
        <w:gridCol w:w="8095"/>
        <w:gridCol w:w="3835"/>
      </w:tblGrid>
      <w:tr w:rsidR="003717AB" w:rsidRPr="003717AB" w:rsidTr="00C50B25">
        <w:trPr>
          <w:trHeight w:val="106"/>
        </w:trPr>
        <w:tc>
          <w:tcPr>
            <w:tcW w:w="8095" w:type="dxa"/>
            <w:tcBorders>
              <w:top w:val="nil"/>
              <w:left w:val="nil"/>
              <w:bottom w:val="nil"/>
              <w:right w:val="nil"/>
            </w:tcBorders>
            <w:shd w:val="clear" w:color="auto" w:fill="auto"/>
            <w:noWrap/>
            <w:vAlign w:val="bottom"/>
          </w:tcPr>
          <w:p w:rsidR="003717AB" w:rsidRPr="007A20B9" w:rsidRDefault="003717AB" w:rsidP="004047BD">
            <w:pPr>
              <w:suppressAutoHyphens w:val="0"/>
              <w:ind w:left="360"/>
              <w:contextualSpacing/>
              <w:jc w:val="both"/>
              <w:rPr>
                <w:rFonts w:eastAsia="Calibri"/>
                <w:lang w:eastAsia="en-US"/>
              </w:rPr>
            </w:pPr>
            <w:r w:rsidRPr="004D7D89">
              <w:rPr>
                <w:rFonts w:eastAsia="Calibri"/>
                <w:lang w:val="uk-UA" w:eastAsia="en-US"/>
              </w:rPr>
              <w:t>Адміністративні витрати</w:t>
            </w:r>
            <w:r w:rsidR="00ED0D46" w:rsidRPr="004D7D89">
              <w:rPr>
                <w:rFonts w:eastAsia="Calibri"/>
                <w:lang w:val="uk-UA" w:eastAsia="en-US"/>
              </w:rPr>
              <w:t xml:space="preserve"> </w:t>
            </w:r>
            <w:r w:rsidR="004D7D89" w:rsidRPr="004D7D89">
              <w:rPr>
                <w:rFonts w:eastAsia="Calibri"/>
                <w:lang w:val="uk-UA" w:eastAsia="en-US"/>
              </w:rPr>
              <w:t xml:space="preserve"> у 2017 р. склали—648 тис.грн.,</w:t>
            </w:r>
            <w:r w:rsidR="00ED0D46" w:rsidRPr="004D7D89">
              <w:rPr>
                <w:rFonts w:eastAsia="Calibri"/>
                <w:lang w:val="uk-UA" w:eastAsia="en-US"/>
              </w:rPr>
              <w:t>а у</w:t>
            </w:r>
            <w:r w:rsidR="007A20B9" w:rsidRPr="004D7D89">
              <w:rPr>
                <w:rFonts w:eastAsia="Calibri"/>
                <w:lang w:val="uk-UA" w:eastAsia="en-US"/>
              </w:rPr>
              <w:t xml:space="preserve"> </w:t>
            </w:r>
            <w:r w:rsidR="007A20B9" w:rsidRPr="007A20B9">
              <w:rPr>
                <w:rFonts w:eastAsia="Calibri"/>
                <w:lang w:val="uk-UA" w:eastAsia="en-US"/>
              </w:rPr>
              <w:t>2016 р. – 609 тис. грн., грн..</w:t>
            </w:r>
          </w:p>
          <w:p w:rsidR="003717AB" w:rsidRPr="003717AB" w:rsidRDefault="003717AB" w:rsidP="004047BD">
            <w:pPr>
              <w:suppressAutoHyphens w:val="0"/>
              <w:ind w:left="360"/>
              <w:contextualSpacing/>
              <w:jc w:val="both"/>
              <w:rPr>
                <w:rFonts w:eastAsia="Calibri"/>
                <w:b/>
                <w:lang w:val="uk-UA" w:eastAsia="en-US"/>
              </w:rPr>
            </w:pPr>
            <w:r w:rsidRPr="003717AB">
              <w:rPr>
                <w:rFonts w:eastAsia="Calibri"/>
                <w:i/>
                <w:lang w:val="uk-UA" w:eastAsia="en-US"/>
              </w:rPr>
              <w:t xml:space="preserve">                                         </w:t>
            </w:r>
          </w:p>
        </w:tc>
        <w:tc>
          <w:tcPr>
            <w:tcW w:w="3835" w:type="dxa"/>
            <w:tcBorders>
              <w:top w:val="nil"/>
              <w:left w:val="nil"/>
              <w:bottom w:val="nil"/>
              <w:right w:val="nil"/>
            </w:tcBorders>
            <w:shd w:val="clear" w:color="auto" w:fill="auto"/>
            <w:noWrap/>
            <w:vAlign w:val="bottom"/>
          </w:tcPr>
          <w:p w:rsidR="003717AB" w:rsidRPr="003717AB" w:rsidRDefault="003717AB" w:rsidP="004047BD">
            <w:pPr>
              <w:suppressAutoHyphens w:val="0"/>
              <w:jc w:val="both"/>
              <w:rPr>
                <w:i/>
                <w:color w:val="000000"/>
                <w:lang w:val="uk-UA" w:eastAsia="uk-UA"/>
              </w:rPr>
            </w:pPr>
            <w:r w:rsidRPr="003717AB">
              <w:rPr>
                <w:i/>
                <w:color w:val="000000"/>
                <w:lang w:val="uk-UA" w:eastAsia="uk-UA"/>
              </w:rPr>
              <w:t>тис.</w:t>
            </w:r>
            <w:r w:rsidR="00CE100C">
              <w:rPr>
                <w:i/>
                <w:color w:val="000000"/>
                <w:lang w:val="uk-UA" w:eastAsia="uk-UA"/>
              </w:rPr>
              <w:t xml:space="preserve"> </w:t>
            </w:r>
            <w:r w:rsidRPr="003717AB">
              <w:rPr>
                <w:i/>
                <w:color w:val="000000"/>
                <w:lang w:val="uk-UA" w:eastAsia="uk-UA"/>
              </w:rPr>
              <w:t>грн.</w:t>
            </w:r>
          </w:p>
        </w:tc>
      </w:tr>
    </w:tbl>
    <w:p w:rsidR="003717AB" w:rsidRPr="003717AB" w:rsidRDefault="003717AB" w:rsidP="004047BD">
      <w:pPr>
        <w:suppressAutoHyphens w:val="0"/>
        <w:spacing w:line="276" w:lineRule="auto"/>
        <w:jc w:val="both"/>
        <w:rPr>
          <w:rFonts w:ascii="Calibri" w:eastAsia="Calibri" w:hAnsi="Calibri"/>
          <w:vanish/>
          <w:sz w:val="22"/>
          <w:szCs w:val="22"/>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1701"/>
        <w:gridCol w:w="1701"/>
      </w:tblGrid>
      <w:tr w:rsidR="003717AB" w:rsidRPr="003717AB" w:rsidTr="00C50B25">
        <w:tc>
          <w:tcPr>
            <w:tcW w:w="5095" w:type="dxa"/>
            <w:shd w:val="clear" w:color="auto" w:fill="auto"/>
          </w:tcPr>
          <w:p w:rsidR="003717AB" w:rsidRPr="003717AB" w:rsidRDefault="003717AB" w:rsidP="00CE100C">
            <w:pPr>
              <w:suppressAutoHyphens w:val="0"/>
              <w:jc w:val="both"/>
              <w:rPr>
                <w:rFonts w:eastAsia="Calibri"/>
                <w:lang w:val="uk-UA" w:eastAsia="en-US"/>
              </w:rPr>
            </w:pPr>
            <w:r w:rsidRPr="003717AB">
              <w:rPr>
                <w:rFonts w:eastAsia="Calibri"/>
                <w:i/>
                <w:lang w:val="uk-UA" w:eastAsia="en-US"/>
              </w:rPr>
              <w:t xml:space="preserve">Елементи  </w:t>
            </w:r>
            <w:r w:rsidR="00CE100C">
              <w:rPr>
                <w:rFonts w:eastAsia="Calibri"/>
                <w:i/>
                <w:lang w:val="uk-UA" w:eastAsia="en-US"/>
              </w:rPr>
              <w:t xml:space="preserve">операційних </w:t>
            </w:r>
            <w:r w:rsidRPr="003717AB">
              <w:rPr>
                <w:rFonts w:eastAsia="Calibri"/>
                <w:i/>
                <w:lang w:val="uk-UA" w:eastAsia="en-US"/>
              </w:rPr>
              <w:t>витрат</w:t>
            </w:r>
          </w:p>
        </w:tc>
        <w:tc>
          <w:tcPr>
            <w:tcW w:w="1701" w:type="dxa"/>
            <w:shd w:val="clear" w:color="auto" w:fill="auto"/>
            <w:vAlign w:val="bottom"/>
          </w:tcPr>
          <w:p w:rsidR="003717AB" w:rsidRPr="003717AB" w:rsidRDefault="003717AB" w:rsidP="004047BD">
            <w:pPr>
              <w:suppressAutoHyphens w:val="0"/>
              <w:jc w:val="both"/>
              <w:rPr>
                <w:b/>
                <w:bCs/>
                <w:color w:val="000000"/>
                <w:lang w:val="uk-UA" w:eastAsia="uk-UA"/>
              </w:rPr>
            </w:pPr>
            <w:r w:rsidRPr="003717AB">
              <w:rPr>
                <w:b/>
                <w:bCs/>
                <w:color w:val="000000"/>
                <w:lang w:val="uk-UA" w:eastAsia="uk-UA"/>
              </w:rPr>
              <w:t>2016</w:t>
            </w:r>
            <w:r w:rsidR="00D91900">
              <w:rPr>
                <w:b/>
                <w:bCs/>
                <w:color w:val="000000"/>
                <w:lang w:val="uk-UA" w:eastAsia="uk-UA"/>
              </w:rPr>
              <w:t xml:space="preserve"> р.</w:t>
            </w:r>
          </w:p>
        </w:tc>
        <w:tc>
          <w:tcPr>
            <w:tcW w:w="1701" w:type="dxa"/>
            <w:vAlign w:val="bottom"/>
          </w:tcPr>
          <w:p w:rsidR="003717AB" w:rsidRPr="003717AB" w:rsidRDefault="00802D5A" w:rsidP="004047BD">
            <w:pPr>
              <w:suppressAutoHyphens w:val="0"/>
              <w:jc w:val="both"/>
              <w:rPr>
                <w:b/>
                <w:bCs/>
                <w:color w:val="000000"/>
                <w:lang w:val="uk-UA" w:eastAsia="uk-UA"/>
              </w:rPr>
            </w:pPr>
            <w:r>
              <w:rPr>
                <w:b/>
                <w:bCs/>
                <w:color w:val="000000"/>
                <w:lang w:val="uk-UA" w:eastAsia="uk-UA"/>
              </w:rPr>
              <w:t>2017</w:t>
            </w:r>
            <w:r w:rsidR="00D91900">
              <w:rPr>
                <w:b/>
                <w:bCs/>
                <w:color w:val="000000"/>
                <w:lang w:val="uk-UA" w:eastAsia="uk-UA"/>
              </w:rPr>
              <w:t xml:space="preserve"> р.</w:t>
            </w:r>
          </w:p>
        </w:tc>
      </w:tr>
      <w:tr w:rsidR="003717AB" w:rsidRPr="003717AB" w:rsidTr="00C50B25">
        <w:tc>
          <w:tcPr>
            <w:tcW w:w="5095" w:type="dxa"/>
            <w:shd w:val="clear" w:color="auto" w:fill="auto"/>
            <w:vAlign w:val="bottom"/>
          </w:tcPr>
          <w:p w:rsidR="003717AB" w:rsidRPr="003717AB" w:rsidRDefault="00CE100C" w:rsidP="00CE100C">
            <w:pPr>
              <w:suppressAutoHyphens w:val="0"/>
              <w:jc w:val="both"/>
              <w:rPr>
                <w:color w:val="000000"/>
                <w:lang w:val="uk-UA" w:eastAsia="uk-UA"/>
              </w:rPr>
            </w:pPr>
            <w:r>
              <w:rPr>
                <w:color w:val="000000"/>
                <w:lang w:val="uk-UA" w:eastAsia="uk-UA"/>
              </w:rPr>
              <w:t>Матеріальні витрати</w:t>
            </w:r>
          </w:p>
        </w:tc>
        <w:tc>
          <w:tcPr>
            <w:tcW w:w="1701" w:type="dxa"/>
            <w:shd w:val="clear" w:color="auto" w:fill="auto"/>
          </w:tcPr>
          <w:p w:rsidR="003717AB" w:rsidRPr="003717AB" w:rsidRDefault="00CE100C" w:rsidP="004047BD">
            <w:pPr>
              <w:suppressAutoHyphens w:val="0"/>
              <w:jc w:val="both"/>
              <w:rPr>
                <w:color w:val="000000"/>
                <w:lang w:val="uk-UA" w:eastAsia="uk-UA"/>
              </w:rPr>
            </w:pPr>
            <w:r>
              <w:rPr>
                <w:color w:val="000000"/>
                <w:lang w:val="uk-UA" w:eastAsia="uk-UA"/>
              </w:rPr>
              <w:t>4</w:t>
            </w:r>
          </w:p>
        </w:tc>
        <w:tc>
          <w:tcPr>
            <w:tcW w:w="1701" w:type="dxa"/>
          </w:tcPr>
          <w:p w:rsidR="003717AB" w:rsidRPr="003717AB" w:rsidRDefault="004D7D89" w:rsidP="004047BD">
            <w:pPr>
              <w:suppressAutoHyphens w:val="0"/>
              <w:jc w:val="both"/>
              <w:rPr>
                <w:color w:val="000000"/>
                <w:lang w:val="uk-UA" w:eastAsia="uk-UA"/>
              </w:rPr>
            </w:pPr>
            <w:r>
              <w:rPr>
                <w:color w:val="000000"/>
                <w:lang w:val="uk-UA" w:eastAsia="uk-UA"/>
              </w:rPr>
              <w:t>1</w:t>
            </w:r>
          </w:p>
        </w:tc>
      </w:tr>
      <w:tr w:rsidR="00CE100C" w:rsidRPr="003717AB" w:rsidTr="00C50B25">
        <w:tc>
          <w:tcPr>
            <w:tcW w:w="5095" w:type="dxa"/>
            <w:shd w:val="clear" w:color="auto" w:fill="auto"/>
            <w:vAlign w:val="bottom"/>
          </w:tcPr>
          <w:p w:rsidR="00CE100C" w:rsidRPr="003717AB" w:rsidRDefault="00CE100C" w:rsidP="006A3E59">
            <w:pPr>
              <w:suppressAutoHyphens w:val="0"/>
              <w:jc w:val="both"/>
              <w:rPr>
                <w:color w:val="000000"/>
                <w:lang w:val="uk-UA" w:eastAsia="uk-UA"/>
              </w:rPr>
            </w:pPr>
            <w:r w:rsidRPr="003717AB">
              <w:rPr>
                <w:color w:val="000000"/>
                <w:lang w:val="uk-UA" w:eastAsia="uk-UA"/>
              </w:rPr>
              <w:t xml:space="preserve">Оплата праці , </w:t>
            </w:r>
          </w:p>
        </w:tc>
        <w:tc>
          <w:tcPr>
            <w:tcW w:w="1701" w:type="dxa"/>
            <w:shd w:val="clear" w:color="auto" w:fill="auto"/>
          </w:tcPr>
          <w:p w:rsidR="00CE100C" w:rsidRPr="003717AB" w:rsidRDefault="00CE100C" w:rsidP="004047BD">
            <w:pPr>
              <w:suppressAutoHyphens w:val="0"/>
              <w:jc w:val="both"/>
              <w:rPr>
                <w:color w:val="000000"/>
                <w:lang w:val="uk-UA" w:eastAsia="uk-UA"/>
              </w:rPr>
            </w:pPr>
            <w:r>
              <w:rPr>
                <w:color w:val="000000"/>
                <w:lang w:val="uk-UA" w:eastAsia="uk-UA"/>
              </w:rPr>
              <w:t>501</w:t>
            </w:r>
          </w:p>
        </w:tc>
        <w:tc>
          <w:tcPr>
            <w:tcW w:w="1701" w:type="dxa"/>
          </w:tcPr>
          <w:p w:rsidR="00CE100C" w:rsidRPr="003717AB" w:rsidRDefault="004D7D89" w:rsidP="004047BD">
            <w:pPr>
              <w:suppressAutoHyphens w:val="0"/>
              <w:jc w:val="both"/>
              <w:rPr>
                <w:color w:val="000000"/>
                <w:lang w:val="uk-UA" w:eastAsia="uk-UA"/>
              </w:rPr>
            </w:pPr>
            <w:r>
              <w:rPr>
                <w:color w:val="000000"/>
                <w:lang w:val="uk-UA" w:eastAsia="uk-UA"/>
              </w:rPr>
              <w:t>531</w:t>
            </w:r>
          </w:p>
        </w:tc>
      </w:tr>
      <w:tr w:rsidR="00CE100C" w:rsidRPr="003717AB" w:rsidTr="00C50B25">
        <w:tc>
          <w:tcPr>
            <w:tcW w:w="5095" w:type="dxa"/>
            <w:shd w:val="clear" w:color="auto" w:fill="auto"/>
            <w:vAlign w:val="bottom"/>
          </w:tcPr>
          <w:p w:rsidR="00CE100C" w:rsidRPr="003717AB" w:rsidRDefault="00CE100C" w:rsidP="006A3E59">
            <w:pPr>
              <w:suppressAutoHyphens w:val="0"/>
              <w:jc w:val="both"/>
              <w:rPr>
                <w:color w:val="000000"/>
                <w:lang w:val="uk-UA" w:eastAsia="uk-UA"/>
              </w:rPr>
            </w:pPr>
            <w:r w:rsidRPr="003717AB">
              <w:rPr>
                <w:color w:val="000000"/>
                <w:lang w:val="uk-UA" w:eastAsia="uk-UA"/>
              </w:rPr>
              <w:lastRenderedPageBreak/>
              <w:t>Нарахування</w:t>
            </w:r>
            <w:r>
              <w:rPr>
                <w:color w:val="000000"/>
                <w:lang w:val="uk-UA" w:eastAsia="uk-UA"/>
              </w:rPr>
              <w:t xml:space="preserve"> на соціальні заходи</w:t>
            </w:r>
          </w:p>
        </w:tc>
        <w:tc>
          <w:tcPr>
            <w:tcW w:w="1701" w:type="dxa"/>
            <w:shd w:val="clear" w:color="auto" w:fill="auto"/>
          </w:tcPr>
          <w:p w:rsidR="00CE100C" w:rsidRPr="003717AB" w:rsidRDefault="00CE100C" w:rsidP="004047BD">
            <w:pPr>
              <w:suppressAutoHyphens w:val="0"/>
              <w:jc w:val="both"/>
              <w:rPr>
                <w:color w:val="000000"/>
                <w:lang w:val="uk-UA" w:eastAsia="uk-UA"/>
              </w:rPr>
            </w:pPr>
            <w:r>
              <w:rPr>
                <w:color w:val="000000"/>
                <w:lang w:val="uk-UA" w:eastAsia="uk-UA"/>
              </w:rPr>
              <w:t>104</w:t>
            </w:r>
          </w:p>
        </w:tc>
        <w:tc>
          <w:tcPr>
            <w:tcW w:w="1701" w:type="dxa"/>
          </w:tcPr>
          <w:p w:rsidR="00CE100C" w:rsidRPr="003717AB" w:rsidRDefault="004D7D89" w:rsidP="004047BD">
            <w:pPr>
              <w:suppressAutoHyphens w:val="0"/>
              <w:jc w:val="both"/>
              <w:rPr>
                <w:color w:val="000000"/>
                <w:lang w:val="uk-UA" w:eastAsia="uk-UA"/>
              </w:rPr>
            </w:pPr>
            <w:r>
              <w:rPr>
                <w:color w:val="000000"/>
                <w:lang w:val="uk-UA" w:eastAsia="uk-UA"/>
              </w:rPr>
              <w:t>116</w:t>
            </w:r>
          </w:p>
        </w:tc>
      </w:tr>
      <w:tr w:rsidR="00CE100C" w:rsidRPr="003717AB" w:rsidTr="00C50B25">
        <w:tc>
          <w:tcPr>
            <w:tcW w:w="5095" w:type="dxa"/>
            <w:shd w:val="clear" w:color="auto" w:fill="auto"/>
            <w:vAlign w:val="bottom"/>
          </w:tcPr>
          <w:p w:rsidR="00CE100C" w:rsidRPr="003717AB" w:rsidRDefault="00CE100C" w:rsidP="006A3E59">
            <w:pPr>
              <w:suppressAutoHyphens w:val="0"/>
              <w:jc w:val="both"/>
              <w:rPr>
                <w:color w:val="000000"/>
                <w:lang w:val="uk-UA" w:eastAsia="uk-UA"/>
              </w:rPr>
            </w:pPr>
            <w:r w:rsidRPr="003717AB">
              <w:rPr>
                <w:color w:val="000000"/>
                <w:lang w:val="uk-UA" w:eastAsia="uk-UA"/>
              </w:rPr>
              <w:t xml:space="preserve">Амортизація </w:t>
            </w:r>
          </w:p>
        </w:tc>
        <w:tc>
          <w:tcPr>
            <w:tcW w:w="1701" w:type="dxa"/>
            <w:shd w:val="clear" w:color="auto" w:fill="auto"/>
          </w:tcPr>
          <w:p w:rsidR="00CE100C" w:rsidRPr="003717AB" w:rsidRDefault="00D91900" w:rsidP="004047BD">
            <w:pPr>
              <w:suppressAutoHyphens w:val="0"/>
              <w:jc w:val="both"/>
              <w:rPr>
                <w:color w:val="000000"/>
                <w:lang w:val="uk-UA" w:eastAsia="uk-UA"/>
              </w:rPr>
            </w:pPr>
            <w:r>
              <w:rPr>
                <w:color w:val="000000"/>
                <w:lang w:val="uk-UA" w:eastAsia="uk-UA"/>
              </w:rPr>
              <w:t>0</w:t>
            </w:r>
          </w:p>
        </w:tc>
        <w:tc>
          <w:tcPr>
            <w:tcW w:w="1701" w:type="dxa"/>
          </w:tcPr>
          <w:p w:rsidR="00CE100C" w:rsidRPr="003717AB" w:rsidRDefault="00D91900" w:rsidP="004047BD">
            <w:pPr>
              <w:suppressAutoHyphens w:val="0"/>
              <w:jc w:val="both"/>
              <w:rPr>
                <w:color w:val="000000"/>
                <w:lang w:val="uk-UA" w:eastAsia="uk-UA"/>
              </w:rPr>
            </w:pPr>
            <w:r>
              <w:rPr>
                <w:color w:val="000000"/>
                <w:lang w:val="uk-UA" w:eastAsia="uk-UA"/>
              </w:rPr>
              <w:t>0</w:t>
            </w:r>
          </w:p>
        </w:tc>
      </w:tr>
      <w:tr w:rsidR="00CE100C" w:rsidRPr="003717AB" w:rsidTr="00C50B25">
        <w:tc>
          <w:tcPr>
            <w:tcW w:w="5095" w:type="dxa"/>
            <w:shd w:val="clear" w:color="auto" w:fill="auto"/>
            <w:vAlign w:val="bottom"/>
          </w:tcPr>
          <w:p w:rsidR="00CE100C" w:rsidRPr="003717AB" w:rsidRDefault="00CE100C" w:rsidP="004047BD">
            <w:pPr>
              <w:suppressAutoHyphens w:val="0"/>
              <w:jc w:val="both"/>
              <w:rPr>
                <w:color w:val="000000"/>
                <w:lang w:val="uk-UA" w:eastAsia="uk-UA"/>
              </w:rPr>
            </w:pPr>
            <w:r w:rsidRPr="003717AB">
              <w:rPr>
                <w:color w:val="000000"/>
                <w:lang w:val="uk-UA" w:eastAsia="uk-UA"/>
              </w:rPr>
              <w:t>Інші</w:t>
            </w:r>
            <w:r>
              <w:rPr>
                <w:color w:val="000000"/>
                <w:lang w:val="uk-UA" w:eastAsia="uk-UA"/>
              </w:rPr>
              <w:t xml:space="preserve"> операційні витрати</w:t>
            </w:r>
          </w:p>
        </w:tc>
        <w:tc>
          <w:tcPr>
            <w:tcW w:w="1701" w:type="dxa"/>
            <w:shd w:val="clear" w:color="auto" w:fill="auto"/>
          </w:tcPr>
          <w:p w:rsidR="00CE100C" w:rsidRPr="003717AB" w:rsidRDefault="00D91900" w:rsidP="004047BD">
            <w:pPr>
              <w:suppressAutoHyphens w:val="0"/>
              <w:jc w:val="both"/>
              <w:rPr>
                <w:color w:val="000000"/>
                <w:lang w:val="uk-UA" w:eastAsia="uk-UA"/>
              </w:rPr>
            </w:pPr>
            <w:r>
              <w:rPr>
                <w:color w:val="000000"/>
                <w:lang w:val="uk-UA" w:eastAsia="uk-UA"/>
              </w:rPr>
              <w:t>222</w:t>
            </w:r>
          </w:p>
        </w:tc>
        <w:tc>
          <w:tcPr>
            <w:tcW w:w="1701" w:type="dxa"/>
          </w:tcPr>
          <w:p w:rsidR="00CE100C" w:rsidRPr="003717AB" w:rsidRDefault="004D7D89" w:rsidP="004047BD">
            <w:pPr>
              <w:suppressAutoHyphens w:val="0"/>
              <w:jc w:val="both"/>
              <w:rPr>
                <w:color w:val="000000"/>
                <w:lang w:val="uk-UA" w:eastAsia="uk-UA"/>
              </w:rPr>
            </w:pPr>
            <w:r>
              <w:rPr>
                <w:color w:val="000000"/>
                <w:lang w:val="uk-UA" w:eastAsia="uk-UA"/>
              </w:rPr>
              <w:t>162</w:t>
            </w:r>
          </w:p>
        </w:tc>
      </w:tr>
      <w:tr w:rsidR="00CE100C" w:rsidRPr="003717AB" w:rsidTr="00C50B25">
        <w:tc>
          <w:tcPr>
            <w:tcW w:w="5095" w:type="dxa"/>
            <w:shd w:val="clear" w:color="auto" w:fill="auto"/>
            <w:vAlign w:val="bottom"/>
          </w:tcPr>
          <w:p w:rsidR="00CE100C" w:rsidRPr="003717AB" w:rsidRDefault="00CE100C" w:rsidP="00CE100C">
            <w:pPr>
              <w:suppressAutoHyphens w:val="0"/>
              <w:jc w:val="both"/>
              <w:rPr>
                <w:b/>
                <w:i/>
                <w:color w:val="000000"/>
                <w:lang w:val="uk-UA" w:eastAsia="uk-UA"/>
              </w:rPr>
            </w:pPr>
            <w:r w:rsidRPr="003717AB">
              <w:rPr>
                <w:b/>
                <w:i/>
                <w:color w:val="000000"/>
                <w:lang w:val="uk-UA" w:eastAsia="uk-UA"/>
              </w:rPr>
              <w:t xml:space="preserve">Усього </w:t>
            </w:r>
          </w:p>
        </w:tc>
        <w:tc>
          <w:tcPr>
            <w:tcW w:w="1701" w:type="dxa"/>
            <w:shd w:val="clear" w:color="auto" w:fill="auto"/>
          </w:tcPr>
          <w:p w:rsidR="00CE100C" w:rsidRPr="003717AB" w:rsidRDefault="001E75D8" w:rsidP="004047BD">
            <w:pPr>
              <w:suppressAutoHyphens w:val="0"/>
              <w:jc w:val="both"/>
              <w:rPr>
                <w:b/>
                <w:i/>
                <w:color w:val="000000"/>
                <w:lang w:val="uk-UA" w:eastAsia="uk-UA"/>
              </w:rPr>
            </w:pPr>
            <w:r>
              <w:rPr>
                <w:b/>
                <w:i/>
                <w:color w:val="000000"/>
                <w:lang w:val="uk-UA" w:eastAsia="uk-UA"/>
              </w:rPr>
              <w:t>831</w:t>
            </w:r>
          </w:p>
        </w:tc>
        <w:tc>
          <w:tcPr>
            <w:tcW w:w="1701" w:type="dxa"/>
          </w:tcPr>
          <w:p w:rsidR="00CE100C" w:rsidRPr="003717AB" w:rsidRDefault="004D7D89" w:rsidP="004047BD">
            <w:pPr>
              <w:suppressAutoHyphens w:val="0"/>
              <w:jc w:val="both"/>
              <w:rPr>
                <w:b/>
                <w:i/>
                <w:color w:val="000000"/>
                <w:lang w:val="uk-UA" w:eastAsia="uk-UA"/>
              </w:rPr>
            </w:pPr>
            <w:r>
              <w:rPr>
                <w:b/>
                <w:i/>
                <w:color w:val="000000"/>
                <w:lang w:val="uk-UA" w:eastAsia="uk-UA"/>
              </w:rPr>
              <w:t>810</w:t>
            </w:r>
          </w:p>
        </w:tc>
      </w:tr>
    </w:tbl>
    <w:p w:rsidR="003717AB" w:rsidRPr="003717AB" w:rsidRDefault="00357A2C" w:rsidP="004047BD">
      <w:pPr>
        <w:suppressAutoHyphens w:val="0"/>
        <w:autoSpaceDE w:val="0"/>
        <w:autoSpaceDN w:val="0"/>
        <w:adjustRightInd w:val="0"/>
        <w:spacing w:before="240"/>
        <w:jc w:val="both"/>
        <w:rPr>
          <w:rFonts w:eastAsia="Calibri"/>
          <w:lang w:val="uk-UA" w:eastAsia="en-US"/>
        </w:rPr>
      </w:pPr>
      <w:r>
        <w:rPr>
          <w:rFonts w:eastAsia="Calibri"/>
          <w:b/>
          <w:lang w:val="uk-UA" w:eastAsia="en-US"/>
        </w:rPr>
        <w:t>5</w:t>
      </w:r>
      <w:r w:rsidR="00F71119">
        <w:rPr>
          <w:rFonts w:eastAsia="Calibri"/>
          <w:b/>
          <w:lang w:val="uk-UA" w:eastAsia="en-US"/>
        </w:rPr>
        <w:t>.10</w:t>
      </w:r>
      <w:r w:rsidR="003717AB" w:rsidRPr="003717AB">
        <w:rPr>
          <w:rFonts w:eastAsia="Calibri"/>
          <w:b/>
          <w:lang w:val="uk-UA" w:eastAsia="en-US"/>
        </w:rPr>
        <w:t>.</w:t>
      </w:r>
      <w:r w:rsidR="003717AB" w:rsidRPr="003717AB">
        <w:rPr>
          <w:rFonts w:eastAsia="Calibri"/>
          <w:lang w:val="uk-UA" w:eastAsia="en-US"/>
        </w:rPr>
        <w:t xml:space="preserve"> </w:t>
      </w:r>
      <w:r w:rsidR="003717AB" w:rsidRPr="003717AB">
        <w:rPr>
          <w:rFonts w:eastAsia="Calibri"/>
          <w:b/>
          <w:lang w:val="uk-UA" w:eastAsia="en-US"/>
        </w:rPr>
        <w:t>Податок на прибуток</w:t>
      </w:r>
    </w:p>
    <w:p w:rsidR="003717AB" w:rsidRPr="003717AB" w:rsidRDefault="003717AB" w:rsidP="004047BD">
      <w:pPr>
        <w:suppressAutoHyphens w:val="0"/>
        <w:autoSpaceDE w:val="0"/>
        <w:autoSpaceDN w:val="0"/>
        <w:adjustRightInd w:val="0"/>
        <w:spacing w:before="240"/>
        <w:jc w:val="both"/>
        <w:rPr>
          <w:rFonts w:eastAsia="Calibri"/>
          <w:lang w:val="uk-UA" w:eastAsia="en-US"/>
        </w:rPr>
      </w:pPr>
      <w:r w:rsidRPr="003717AB">
        <w:rPr>
          <w:rFonts w:eastAsia="Calibri"/>
          <w:lang w:val="uk-UA" w:eastAsia="en-US"/>
        </w:rPr>
        <w:t xml:space="preserve">До складу податку на прибуток входить поточний податок на прибуток і відстрочений податок на прибуток. Відстрочений податковий актив (зобов’язання) відображається у фінансовій звітності у складі Звіту про сукупний дохід (збиток), окрім випадків, коли відстрочений податковий актив (зобов’язання) відображається у капіталі. </w:t>
      </w:r>
    </w:p>
    <w:p w:rsidR="003717AB" w:rsidRPr="003717AB" w:rsidRDefault="003717AB" w:rsidP="004047BD">
      <w:pPr>
        <w:suppressAutoHyphens w:val="0"/>
        <w:autoSpaceDE w:val="0"/>
        <w:autoSpaceDN w:val="0"/>
        <w:adjustRightInd w:val="0"/>
        <w:spacing w:before="240"/>
        <w:jc w:val="both"/>
        <w:rPr>
          <w:rFonts w:eastAsia="Calibri"/>
          <w:lang w:val="uk-UA" w:eastAsia="en-US"/>
        </w:rPr>
      </w:pPr>
      <w:r w:rsidRPr="003717AB">
        <w:rPr>
          <w:rFonts w:eastAsia="Calibri"/>
          <w:lang w:val="uk-UA" w:eastAsia="en-US"/>
        </w:rPr>
        <w:t>Поточний податок на прибуток – це сума, яка розраховується як відсоток від прибутку поточного періоду, що підлягає оподаткуванню (згідно з податковою звітністю з податку на прибуток). Порядок розрахунку прибутку, що підлягає оподаткуванню, та ставка податку на прибуток встановлюється законодавством України.</w:t>
      </w:r>
    </w:p>
    <w:p w:rsidR="003717AB" w:rsidRPr="003717AB" w:rsidRDefault="003717AB" w:rsidP="004047BD">
      <w:pPr>
        <w:suppressAutoHyphens w:val="0"/>
        <w:autoSpaceDE w:val="0"/>
        <w:autoSpaceDN w:val="0"/>
        <w:adjustRightInd w:val="0"/>
        <w:spacing w:before="240"/>
        <w:jc w:val="both"/>
        <w:rPr>
          <w:rFonts w:eastAsia="Calibri"/>
          <w:lang w:val="uk-UA" w:eastAsia="en-US"/>
        </w:rPr>
      </w:pPr>
      <w:r w:rsidRPr="003717AB">
        <w:rPr>
          <w:rFonts w:eastAsia="Calibri"/>
          <w:lang w:val="uk-UA" w:eastAsia="en-US"/>
        </w:rPr>
        <w:t>Відстрочений податок на прибуток визнається для всіх тимчасових різниць, якщо існує впевненість, що ці тимчасові різниці будуть у майбутньому брати участь у розрахунку прибутку, що підлягає оподаткуванню.</w:t>
      </w:r>
    </w:p>
    <w:p w:rsidR="003717AB" w:rsidRPr="003717AB" w:rsidRDefault="003717AB" w:rsidP="001E75D8">
      <w:pPr>
        <w:suppressAutoHyphens w:val="0"/>
        <w:autoSpaceDE w:val="0"/>
        <w:autoSpaceDN w:val="0"/>
        <w:adjustRightInd w:val="0"/>
        <w:spacing w:before="240"/>
        <w:jc w:val="both"/>
        <w:rPr>
          <w:rFonts w:eastAsia="Calibri"/>
          <w:lang w:val="uk-UA" w:eastAsia="en-US"/>
        </w:rPr>
      </w:pPr>
      <w:r w:rsidRPr="003717AB">
        <w:rPr>
          <w:rFonts w:eastAsia="Calibri"/>
          <w:lang w:val="uk-UA" w:eastAsia="en-US"/>
        </w:rPr>
        <w:t xml:space="preserve">Відстрочений податок на прибуток відображає чистий податковий ефект від тимчасових різниць між балансовою вартістю активів і зобов’язань для цілей фінансової звітності і для цілей оподаткування.   </w:t>
      </w:r>
    </w:p>
    <w:p w:rsidR="003717AB" w:rsidRPr="003717AB" w:rsidRDefault="003717AB" w:rsidP="004047BD">
      <w:pPr>
        <w:tabs>
          <w:tab w:val="left" w:pos="426"/>
        </w:tabs>
        <w:suppressAutoHyphens w:val="0"/>
        <w:autoSpaceDE w:val="0"/>
        <w:autoSpaceDN w:val="0"/>
        <w:adjustRightInd w:val="0"/>
        <w:spacing w:before="240"/>
        <w:contextualSpacing/>
        <w:jc w:val="both"/>
        <w:rPr>
          <w:rFonts w:eastAsia="Calibri"/>
          <w:lang w:val="uk-UA" w:eastAsia="en-US"/>
        </w:rPr>
      </w:pPr>
      <w:r w:rsidRPr="003717AB">
        <w:rPr>
          <w:rFonts w:eastAsia="Calibri"/>
          <w:lang w:val="uk-UA" w:eastAsia="en-US"/>
        </w:rPr>
        <w:t xml:space="preserve">Склад витрат з податку на прибуток:                                                                                   </w:t>
      </w:r>
    </w:p>
    <w:tbl>
      <w:tblPr>
        <w:tblW w:w="17324" w:type="dxa"/>
        <w:tblInd w:w="93" w:type="dxa"/>
        <w:tblLook w:val="04A0" w:firstRow="1" w:lastRow="0" w:firstColumn="1" w:lastColumn="0" w:noHBand="0" w:noVBand="1"/>
      </w:tblPr>
      <w:tblGrid>
        <w:gridCol w:w="8095"/>
        <w:gridCol w:w="8095"/>
        <w:gridCol w:w="1134"/>
      </w:tblGrid>
      <w:tr w:rsidR="003717AB" w:rsidRPr="003717AB" w:rsidTr="00C50B25">
        <w:trPr>
          <w:trHeight w:val="556"/>
        </w:trPr>
        <w:tc>
          <w:tcPr>
            <w:tcW w:w="8095" w:type="dxa"/>
            <w:tcBorders>
              <w:top w:val="nil"/>
              <w:left w:val="nil"/>
              <w:bottom w:val="nil"/>
              <w:right w:val="nil"/>
            </w:tcBorders>
            <w:vAlign w:val="bottom"/>
          </w:tcPr>
          <w:p w:rsidR="003717AB" w:rsidRPr="003717AB" w:rsidRDefault="003717AB" w:rsidP="004047BD">
            <w:pPr>
              <w:suppressAutoHyphens w:val="0"/>
              <w:jc w:val="both"/>
              <w:rPr>
                <w:i/>
                <w:iCs/>
                <w:color w:val="000000"/>
                <w:sz w:val="20"/>
                <w:szCs w:val="20"/>
                <w:lang w:val="uk-UA" w:eastAsia="uk-UA"/>
              </w:rPr>
            </w:pPr>
            <w:r w:rsidRPr="003717AB">
              <w:rPr>
                <w:i/>
                <w:iCs/>
                <w:color w:val="000000"/>
                <w:sz w:val="20"/>
                <w:szCs w:val="20"/>
                <w:lang w:val="uk-UA" w:eastAsia="uk-UA"/>
              </w:rPr>
              <w:t>тис .грн.</w:t>
            </w:r>
          </w:p>
        </w:tc>
        <w:tc>
          <w:tcPr>
            <w:tcW w:w="8095" w:type="dxa"/>
            <w:tcBorders>
              <w:top w:val="nil"/>
              <w:left w:val="nil"/>
              <w:bottom w:val="nil"/>
              <w:right w:val="nil"/>
            </w:tcBorders>
            <w:shd w:val="clear" w:color="auto" w:fill="auto"/>
            <w:noWrap/>
            <w:vAlign w:val="bottom"/>
          </w:tcPr>
          <w:p w:rsidR="003717AB" w:rsidRPr="003717AB" w:rsidRDefault="003717AB" w:rsidP="004047BD">
            <w:pPr>
              <w:suppressAutoHyphens w:val="0"/>
              <w:jc w:val="both"/>
              <w:rPr>
                <w:color w:val="000000"/>
                <w:lang w:val="uk-UA" w:eastAsia="uk-UA"/>
              </w:rPr>
            </w:pPr>
          </w:p>
        </w:tc>
        <w:tc>
          <w:tcPr>
            <w:tcW w:w="1134" w:type="dxa"/>
            <w:tcBorders>
              <w:top w:val="nil"/>
              <w:left w:val="nil"/>
              <w:bottom w:val="nil"/>
              <w:right w:val="nil"/>
            </w:tcBorders>
            <w:shd w:val="clear" w:color="auto" w:fill="auto"/>
            <w:noWrap/>
            <w:vAlign w:val="bottom"/>
          </w:tcPr>
          <w:p w:rsidR="003717AB" w:rsidRPr="003717AB" w:rsidRDefault="003717AB" w:rsidP="004047BD">
            <w:pPr>
              <w:suppressAutoHyphens w:val="0"/>
              <w:jc w:val="both"/>
              <w:rPr>
                <w:color w:val="000000"/>
                <w:lang w:val="uk-UA" w:eastAsia="uk-UA"/>
              </w:rPr>
            </w:pPr>
          </w:p>
        </w:tc>
      </w:tr>
      <w:tr w:rsidR="003717AB" w:rsidRPr="003717AB" w:rsidTr="00C50B25">
        <w:trPr>
          <w:trHeight w:val="1709"/>
        </w:trPr>
        <w:tc>
          <w:tcPr>
            <w:tcW w:w="8095" w:type="dxa"/>
            <w:tcBorders>
              <w:top w:val="nil"/>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1343"/>
              <w:gridCol w:w="1141"/>
            </w:tblGrid>
            <w:tr w:rsidR="003717AB" w:rsidRPr="003717AB" w:rsidTr="00C50B25">
              <w:tc>
                <w:tcPr>
                  <w:tcW w:w="5379" w:type="dxa"/>
                  <w:shd w:val="clear" w:color="auto" w:fill="auto"/>
                </w:tcPr>
                <w:p w:rsidR="003717AB" w:rsidRPr="003717AB" w:rsidRDefault="003717AB" w:rsidP="004047BD">
                  <w:pPr>
                    <w:suppressAutoHyphens w:val="0"/>
                    <w:jc w:val="both"/>
                    <w:rPr>
                      <w:i/>
                      <w:color w:val="000000"/>
                      <w:lang w:val="uk-UA" w:eastAsia="uk-UA"/>
                    </w:rPr>
                  </w:pPr>
                  <w:r w:rsidRPr="003717AB">
                    <w:rPr>
                      <w:i/>
                      <w:color w:val="000000"/>
                      <w:lang w:val="uk-UA" w:eastAsia="uk-UA"/>
                    </w:rPr>
                    <w:t>Елементи витрат з податку на прибуток</w:t>
                  </w:r>
                </w:p>
              </w:tc>
              <w:tc>
                <w:tcPr>
                  <w:tcW w:w="1343" w:type="dxa"/>
                  <w:shd w:val="clear" w:color="auto" w:fill="auto"/>
                </w:tcPr>
                <w:p w:rsidR="003717AB" w:rsidRPr="003717AB" w:rsidRDefault="003717AB" w:rsidP="004047BD">
                  <w:pPr>
                    <w:suppressAutoHyphens w:val="0"/>
                    <w:jc w:val="both"/>
                    <w:rPr>
                      <w:b/>
                      <w:color w:val="000000"/>
                      <w:lang w:val="uk-UA" w:eastAsia="uk-UA"/>
                    </w:rPr>
                  </w:pPr>
                  <w:r w:rsidRPr="003717AB">
                    <w:rPr>
                      <w:b/>
                      <w:color w:val="000000"/>
                      <w:lang w:val="uk-UA" w:eastAsia="uk-UA"/>
                    </w:rPr>
                    <w:t>2016</w:t>
                  </w:r>
                  <w:r w:rsidR="001E75D8">
                    <w:rPr>
                      <w:b/>
                      <w:color w:val="000000"/>
                      <w:lang w:val="uk-UA" w:eastAsia="uk-UA"/>
                    </w:rPr>
                    <w:t xml:space="preserve"> р.</w:t>
                  </w:r>
                </w:p>
              </w:tc>
              <w:tc>
                <w:tcPr>
                  <w:tcW w:w="1141" w:type="dxa"/>
                  <w:shd w:val="clear" w:color="auto" w:fill="auto"/>
                </w:tcPr>
                <w:p w:rsidR="003717AB" w:rsidRPr="003717AB" w:rsidRDefault="005E7C10" w:rsidP="004047BD">
                  <w:pPr>
                    <w:suppressAutoHyphens w:val="0"/>
                    <w:jc w:val="both"/>
                    <w:rPr>
                      <w:b/>
                      <w:color w:val="000000"/>
                      <w:lang w:val="uk-UA" w:eastAsia="uk-UA"/>
                    </w:rPr>
                  </w:pPr>
                  <w:r>
                    <w:rPr>
                      <w:b/>
                      <w:color w:val="000000"/>
                      <w:lang w:val="uk-UA" w:eastAsia="uk-UA"/>
                    </w:rPr>
                    <w:t>2017</w:t>
                  </w:r>
                  <w:r w:rsidR="001E75D8">
                    <w:rPr>
                      <w:b/>
                      <w:color w:val="000000"/>
                      <w:lang w:val="uk-UA" w:eastAsia="uk-UA"/>
                    </w:rPr>
                    <w:t xml:space="preserve"> р.</w:t>
                  </w:r>
                </w:p>
              </w:tc>
            </w:tr>
            <w:tr w:rsidR="003717AB" w:rsidRPr="003717AB" w:rsidTr="00C50B25">
              <w:trPr>
                <w:trHeight w:val="70"/>
              </w:trPr>
              <w:tc>
                <w:tcPr>
                  <w:tcW w:w="5379" w:type="dxa"/>
                  <w:shd w:val="clear" w:color="auto" w:fill="auto"/>
                </w:tcPr>
                <w:p w:rsidR="003717AB" w:rsidRPr="003717AB" w:rsidRDefault="003717AB" w:rsidP="004047BD">
                  <w:pPr>
                    <w:suppressAutoHyphens w:val="0"/>
                    <w:jc w:val="both"/>
                    <w:rPr>
                      <w:color w:val="000000"/>
                      <w:lang w:val="uk-UA" w:eastAsia="uk-UA"/>
                    </w:rPr>
                  </w:pPr>
                  <w:r w:rsidRPr="003717AB">
                    <w:rPr>
                      <w:color w:val="000000"/>
                      <w:lang w:val="uk-UA" w:eastAsia="uk-UA"/>
                    </w:rPr>
                    <w:t>Поточний податок на прибуток</w:t>
                  </w:r>
                </w:p>
              </w:tc>
              <w:tc>
                <w:tcPr>
                  <w:tcW w:w="1343" w:type="dxa"/>
                  <w:shd w:val="clear" w:color="auto" w:fill="auto"/>
                </w:tcPr>
                <w:p w:rsidR="003717AB" w:rsidRPr="003717AB" w:rsidRDefault="001E75D8" w:rsidP="004047BD">
                  <w:pPr>
                    <w:suppressAutoHyphens w:val="0"/>
                    <w:jc w:val="both"/>
                    <w:rPr>
                      <w:color w:val="000000"/>
                      <w:lang w:val="uk-UA" w:eastAsia="uk-UA"/>
                    </w:rPr>
                  </w:pPr>
                  <w:r>
                    <w:rPr>
                      <w:color w:val="000000"/>
                      <w:lang w:val="uk-UA" w:eastAsia="uk-UA"/>
                    </w:rPr>
                    <w:t>51</w:t>
                  </w:r>
                </w:p>
              </w:tc>
              <w:tc>
                <w:tcPr>
                  <w:tcW w:w="1141" w:type="dxa"/>
                  <w:shd w:val="clear" w:color="auto" w:fill="auto"/>
                </w:tcPr>
                <w:p w:rsidR="003717AB" w:rsidRPr="003717AB" w:rsidRDefault="00C56EBE" w:rsidP="004047BD">
                  <w:pPr>
                    <w:suppressAutoHyphens w:val="0"/>
                    <w:jc w:val="both"/>
                    <w:rPr>
                      <w:color w:val="000000"/>
                      <w:lang w:val="uk-UA" w:eastAsia="uk-UA"/>
                    </w:rPr>
                  </w:pPr>
                  <w:r>
                    <w:rPr>
                      <w:color w:val="000000"/>
                      <w:lang w:val="uk-UA" w:eastAsia="uk-UA"/>
                    </w:rPr>
                    <w:t>54</w:t>
                  </w:r>
                </w:p>
              </w:tc>
            </w:tr>
            <w:tr w:rsidR="003717AB" w:rsidRPr="003717AB" w:rsidTr="00C50B25">
              <w:tc>
                <w:tcPr>
                  <w:tcW w:w="5379" w:type="dxa"/>
                  <w:shd w:val="clear" w:color="auto" w:fill="auto"/>
                </w:tcPr>
                <w:p w:rsidR="003717AB" w:rsidRPr="003717AB" w:rsidRDefault="003717AB" w:rsidP="004047BD">
                  <w:pPr>
                    <w:suppressAutoHyphens w:val="0"/>
                    <w:jc w:val="both"/>
                    <w:rPr>
                      <w:color w:val="000000"/>
                      <w:lang w:val="uk-UA" w:eastAsia="uk-UA"/>
                    </w:rPr>
                  </w:pPr>
                  <w:r w:rsidRPr="003717AB">
                    <w:rPr>
                      <w:color w:val="000000"/>
                      <w:lang w:val="uk-UA" w:eastAsia="uk-UA"/>
                    </w:rPr>
                    <w:t>Відстрочений податковий актив</w:t>
                  </w:r>
                </w:p>
              </w:tc>
              <w:tc>
                <w:tcPr>
                  <w:tcW w:w="1343" w:type="dxa"/>
                  <w:shd w:val="clear" w:color="auto" w:fill="auto"/>
                </w:tcPr>
                <w:p w:rsidR="003717AB" w:rsidRPr="003717AB" w:rsidRDefault="001E75D8" w:rsidP="004047BD">
                  <w:pPr>
                    <w:suppressAutoHyphens w:val="0"/>
                    <w:jc w:val="both"/>
                    <w:rPr>
                      <w:color w:val="000000"/>
                      <w:lang w:val="uk-UA" w:eastAsia="uk-UA"/>
                    </w:rPr>
                  </w:pPr>
                  <w:r>
                    <w:rPr>
                      <w:color w:val="000000"/>
                      <w:lang w:val="uk-UA" w:eastAsia="uk-UA"/>
                    </w:rPr>
                    <w:t>0</w:t>
                  </w:r>
                </w:p>
              </w:tc>
              <w:tc>
                <w:tcPr>
                  <w:tcW w:w="1141" w:type="dxa"/>
                  <w:shd w:val="clear" w:color="auto" w:fill="auto"/>
                </w:tcPr>
                <w:p w:rsidR="003717AB" w:rsidRPr="003717AB" w:rsidRDefault="003717AB" w:rsidP="004047BD">
                  <w:pPr>
                    <w:suppressAutoHyphens w:val="0"/>
                    <w:jc w:val="both"/>
                    <w:rPr>
                      <w:color w:val="000000"/>
                      <w:lang w:val="uk-UA" w:eastAsia="uk-UA"/>
                    </w:rPr>
                  </w:pPr>
                </w:p>
              </w:tc>
            </w:tr>
            <w:tr w:rsidR="003717AB" w:rsidRPr="003717AB" w:rsidTr="00C50B25">
              <w:tc>
                <w:tcPr>
                  <w:tcW w:w="5379" w:type="dxa"/>
                  <w:shd w:val="clear" w:color="auto" w:fill="auto"/>
                </w:tcPr>
                <w:p w:rsidR="003717AB" w:rsidRPr="003717AB" w:rsidRDefault="003717AB" w:rsidP="004047BD">
                  <w:pPr>
                    <w:suppressAutoHyphens w:val="0"/>
                    <w:jc w:val="both"/>
                    <w:rPr>
                      <w:color w:val="000000"/>
                      <w:lang w:val="uk-UA" w:eastAsia="uk-UA"/>
                    </w:rPr>
                  </w:pPr>
                  <w:r w:rsidRPr="003717AB">
                    <w:rPr>
                      <w:color w:val="000000"/>
                      <w:lang w:val="uk-UA" w:eastAsia="uk-UA"/>
                    </w:rPr>
                    <w:t>Відстрочені податкові зобов’язання</w:t>
                  </w:r>
                </w:p>
                <w:p w:rsidR="003717AB" w:rsidRPr="003717AB" w:rsidRDefault="003717AB" w:rsidP="004047BD">
                  <w:pPr>
                    <w:suppressAutoHyphens w:val="0"/>
                    <w:jc w:val="both"/>
                    <w:rPr>
                      <w:color w:val="000000"/>
                      <w:lang w:val="uk-UA" w:eastAsia="uk-UA"/>
                    </w:rPr>
                  </w:pPr>
                </w:p>
              </w:tc>
              <w:tc>
                <w:tcPr>
                  <w:tcW w:w="1343" w:type="dxa"/>
                  <w:shd w:val="clear" w:color="auto" w:fill="auto"/>
                </w:tcPr>
                <w:p w:rsidR="003717AB" w:rsidRPr="003717AB" w:rsidRDefault="001E75D8" w:rsidP="004047BD">
                  <w:pPr>
                    <w:suppressAutoHyphens w:val="0"/>
                    <w:jc w:val="both"/>
                    <w:rPr>
                      <w:color w:val="000000"/>
                      <w:lang w:val="uk-UA" w:eastAsia="uk-UA"/>
                    </w:rPr>
                  </w:pPr>
                  <w:r>
                    <w:rPr>
                      <w:color w:val="000000"/>
                      <w:lang w:val="uk-UA" w:eastAsia="uk-UA"/>
                    </w:rPr>
                    <w:t>0</w:t>
                  </w:r>
                </w:p>
              </w:tc>
              <w:tc>
                <w:tcPr>
                  <w:tcW w:w="1141" w:type="dxa"/>
                  <w:shd w:val="clear" w:color="auto" w:fill="auto"/>
                </w:tcPr>
                <w:p w:rsidR="003717AB" w:rsidRPr="003717AB" w:rsidRDefault="003717AB" w:rsidP="004047BD">
                  <w:pPr>
                    <w:suppressAutoHyphens w:val="0"/>
                    <w:jc w:val="both"/>
                    <w:rPr>
                      <w:color w:val="000000"/>
                      <w:lang w:val="uk-UA" w:eastAsia="uk-UA"/>
                    </w:rPr>
                  </w:pPr>
                </w:p>
              </w:tc>
            </w:tr>
            <w:tr w:rsidR="003717AB" w:rsidRPr="003717AB" w:rsidTr="00C50B25">
              <w:tc>
                <w:tcPr>
                  <w:tcW w:w="5379" w:type="dxa"/>
                  <w:shd w:val="clear" w:color="auto" w:fill="auto"/>
                </w:tcPr>
                <w:p w:rsidR="003717AB" w:rsidRPr="003717AB" w:rsidRDefault="003717AB" w:rsidP="004047BD">
                  <w:pPr>
                    <w:suppressAutoHyphens w:val="0"/>
                    <w:jc w:val="both"/>
                    <w:rPr>
                      <w:b/>
                      <w:i/>
                      <w:color w:val="000000"/>
                      <w:lang w:val="uk-UA" w:eastAsia="uk-UA"/>
                    </w:rPr>
                  </w:pPr>
                  <w:r w:rsidRPr="003717AB">
                    <w:rPr>
                      <w:b/>
                      <w:i/>
                      <w:color w:val="000000"/>
                      <w:lang w:val="uk-UA" w:eastAsia="uk-UA"/>
                    </w:rPr>
                    <w:t>Усього до звіту про фін. результати</w:t>
                  </w:r>
                </w:p>
              </w:tc>
              <w:tc>
                <w:tcPr>
                  <w:tcW w:w="1343" w:type="dxa"/>
                  <w:shd w:val="clear" w:color="auto" w:fill="auto"/>
                </w:tcPr>
                <w:p w:rsidR="003717AB" w:rsidRPr="003717AB" w:rsidRDefault="001E75D8" w:rsidP="004047BD">
                  <w:pPr>
                    <w:suppressAutoHyphens w:val="0"/>
                    <w:jc w:val="both"/>
                    <w:rPr>
                      <w:b/>
                      <w:i/>
                      <w:color w:val="000000"/>
                      <w:lang w:val="uk-UA" w:eastAsia="uk-UA"/>
                    </w:rPr>
                  </w:pPr>
                  <w:r>
                    <w:rPr>
                      <w:b/>
                      <w:i/>
                      <w:color w:val="000000"/>
                      <w:lang w:val="uk-UA" w:eastAsia="uk-UA"/>
                    </w:rPr>
                    <w:t>51</w:t>
                  </w:r>
                </w:p>
              </w:tc>
              <w:tc>
                <w:tcPr>
                  <w:tcW w:w="1141" w:type="dxa"/>
                  <w:shd w:val="clear" w:color="auto" w:fill="auto"/>
                </w:tcPr>
                <w:p w:rsidR="003717AB" w:rsidRPr="003717AB" w:rsidRDefault="00C56EBE" w:rsidP="004047BD">
                  <w:pPr>
                    <w:suppressAutoHyphens w:val="0"/>
                    <w:jc w:val="both"/>
                    <w:rPr>
                      <w:b/>
                      <w:i/>
                      <w:color w:val="000000"/>
                      <w:lang w:val="uk-UA" w:eastAsia="uk-UA"/>
                    </w:rPr>
                  </w:pPr>
                  <w:r>
                    <w:rPr>
                      <w:b/>
                      <w:i/>
                      <w:color w:val="000000"/>
                      <w:lang w:val="uk-UA" w:eastAsia="uk-UA"/>
                    </w:rPr>
                    <w:t>54</w:t>
                  </w:r>
                </w:p>
              </w:tc>
            </w:tr>
          </w:tbl>
          <w:p w:rsidR="003717AB" w:rsidRPr="003717AB" w:rsidRDefault="003717AB" w:rsidP="004047BD">
            <w:pPr>
              <w:suppressAutoHyphens w:val="0"/>
              <w:jc w:val="both"/>
              <w:rPr>
                <w:b/>
                <w:color w:val="000000"/>
                <w:lang w:val="uk-UA" w:eastAsia="uk-UA"/>
              </w:rPr>
            </w:pPr>
          </w:p>
        </w:tc>
        <w:tc>
          <w:tcPr>
            <w:tcW w:w="8095" w:type="dxa"/>
            <w:tcBorders>
              <w:top w:val="nil"/>
              <w:left w:val="nil"/>
              <w:bottom w:val="nil"/>
              <w:right w:val="nil"/>
            </w:tcBorders>
            <w:shd w:val="clear" w:color="auto" w:fill="auto"/>
            <w:noWrap/>
            <w:vAlign w:val="bottom"/>
          </w:tcPr>
          <w:p w:rsidR="003717AB" w:rsidRPr="003717AB" w:rsidRDefault="003717AB" w:rsidP="004047BD">
            <w:pPr>
              <w:suppressAutoHyphens w:val="0"/>
              <w:jc w:val="both"/>
              <w:rPr>
                <w:color w:val="000000"/>
                <w:lang w:val="uk-UA" w:eastAsia="uk-UA"/>
              </w:rPr>
            </w:pPr>
          </w:p>
          <w:p w:rsidR="003717AB" w:rsidRPr="003717AB" w:rsidRDefault="003717AB" w:rsidP="004047BD">
            <w:pPr>
              <w:suppressAutoHyphens w:val="0"/>
              <w:jc w:val="both"/>
              <w:rPr>
                <w:color w:val="000000"/>
                <w:lang w:val="uk-UA" w:eastAsia="uk-UA"/>
              </w:rPr>
            </w:pPr>
          </w:p>
          <w:p w:rsidR="003717AB" w:rsidRPr="003717AB" w:rsidRDefault="003717AB" w:rsidP="004047BD">
            <w:pPr>
              <w:suppressAutoHyphens w:val="0"/>
              <w:jc w:val="both"/>
              <w:rPr>
                <w:color w:val="000000"/>
                <w:lang w:val="uk-UA" w:eastAsia="uk-UA"/>
              </w:rPr>
            </w:pPr>
          </w:p>
          <w:p w:rsidR="003717AB" w:rsidRPr="003717AB" w:rsidRDefault="003717AB" w:rsidP="004047BD">
            <w:pPr>
              <w:suppressAutoHyphens w:val="0"/>
              <w:jc w:val="both"/>
              <w:rPr>
                <w:color w:val="000000"/>
                <w:lang w:val="uk-UA" w:eastAsia="uk-UA"/>
              </w:rPr>
            </w:pPr>
          </w:p>
          <w:p w:rsidR="003717AB" w:rsidRPr="003717AB" w:rsidRDefault="003717AB" w:rsidP="004047BD">
            <w:pPr>
              <w:suppressAutoHyphens w:val="0"/>
              <w:jc w:val="both"/>
              <w:rPr>
                <w:color w:val="000000"/>
                <w:lang w:val="uk-UA" w:eastAsia="uk-UA"/>
              </w:rPr>
            </w:pPr>
          </w:p>
        </w:tc>
        <w:tc>
          <w:tcPr>
            <w:tcW w:w="1134" w:type="dxa"/>
            <w:tcBorders>
              <w:top w:val="nil"/>
              <w:left w:val="nil"/>
              <w:bottom w:val="nil"/>
              <w:right w:val="nil"/>
            </w:tcBorders>
            <w:shd w:val="clear" w:color="auto" w:fill="auto"/>
            <w:noWrap/>
            <w:vAlign w:val="bottom"/>
          </w:tcPr>
          <w:p w:rsidR="003717AB" w:rsidRPr="003717AB" w:rsidRDefault="003717AB" w:rsidP="004047BD">
            <w:pPr>
              <w:suppressAutoHyphens w:val="0"/>
              <w:jc w:val="both"/>
              <w:rPr>
                <w:color w:val="000000"/>
                <w:lang w:val="uk-UA" w:eastAsia="uk-UA"/>
              </w:rPr>
            </w:pPr>
          </w:p>
        </w:tc>
      </w:tr>
    </w:tbl>
    <w:p w:rsidR="003717AB" w:rsidRPr="001E75D8" w:rsidRDefault="00357A2C" w:rsidP="004047BD">
      <w:pPr>
        <w:suppressAutoHyphens w:val="0"/>
        <w:autoSpaceDE w:val="0"/>
        <w:autoSpaceDN w:val="0"/>
        <w:adjustRightInd w:val="0"/>
        <w:spacing w:before="240"/>
        <w:ind w:left="360"/>
        <w:contextualSpacing/>
        <w:jc w:val="both"/>
        <w:rPr>
          <w:rFonts w:ascii="Calibri" w:eastAsia="Calibri" w:hAnsi="Calibri"/>
          <w:b/>
          <w:lang w:val="uk-UA" w:eastAsia="en-US"/>
        </w:rPr>
      </w:pPr>
      <w:r>
        <w:rPr>
          <w:rFonts w:eastAsia="Calibri"/>
          <w:b/>
          <w:lang w:val="uk-UA" w:eastAsia="en-US"/>
        </w:rPr>
        <w:t>5</w:t>
      </w:r>
      <w:r w:rsidR="00F71119">
        <w:rPr>
          <w:rFonts w:eastAsia="Calibri"/>
          <w:b/>
          <w:lang w:val="uk-UA" w:eastAsia="en-US"/>
        </w:rPr>
        <w:t>.11</w:t>
      </w:r>
      <w:r w:rsidR="003717AB" w:rsidRPr="001E75D8">
        <w:rPr>
          <w:rFonts w:eastAsia="Calibri"/>
          <w:b/>
          <w:lang w:val="uk-UA" w:eastAsia="en-US"/>
        </w:rPr>
        <w:t xml:space="preserve">. </w:t>
      </w:r>
      <w:r w:rsidR="003717AB" w:rsidRPr="001E75D8">
        <w:rPr>
          <w:rFonts w:ascii="Calibri" w:eastAsia="Calibri" w:hAnsi="Calibri"/>
          <w:b/>
          <w:lang w:val="uk-UA" w:eastAsia="en-US"/>
        </w:rPr>
        <w:t xml:space="preserve"> Чистий фінансовий результат.</w:t>
      </w:r>
    </w:p>
    <w:p w:rsidR="003717AB" w:rsidRPr="001E75D8" w:rsidRDefault="003717AB" w:rsidP="004047BD">
      <w:pPr>
        <w:suppressAutoHyphens w:val="0"/>
        <w:autoSpaceDE w:val="0"/>
        <w:autoSpaceDN w:val="0"/>
        <w:adjustRightInd w:val="0"/>
        <w:spacing w:before="240"/>
        <w:ind w:left="426" w:hanging="426"/>
        <w:contextualSpacing/>
        <w:jc w:val="both"/>
        <w:rPr>
          <w:rFonts w:ascii="Calibri" w:eastAsia="Calibri" w:hAnsi="Calibri"/>
          <w:b/>
          <w:lang w:val="uk-UA" w:eastAsia="en-US"/>
        </w:rPr>
      </w:pPr>
    </w:p>
    <w:p w:rsidR="003717AB" w:rsidRPr="003717AB" w:rsidRDefault="001E75D8" w:rsidP="004047BD">
      <w:pPr>
        <w:suppressAutoHyphens w:val="0"/>
        <w:autoSpaceDE w:val="0"/>
        <w:autoSpaceDN w:val="0"/>
        <w:adjustRightInd w:val="0"/>
        <w:spacing w:before="240"/>
        <w:ind w:left="426" w:hanging="426"/>
        <w:contextualSpacing/>
        <w:jc w:val="both"/>
        <w:rPr>
          <w:rFonts w:eastAsia="Calibri"/>
          <w:b/>
          <w:sz w:val="22"/>
          <w:szCs w:val="22"/>
          <w:lang w:val="uk-UA" w:eastAsia="en-US"/>
        </w:rPr>
      </w:pPr>
      <w:r>
        <w:rPr>
          <w:rFonts w:eastAsia="Calibri"/>
          <w:b/>
          <w:sz w:val="22"/>
          <w:szCs w:val="22"/>
          <w:lang w:val="uk-UA" w:eastAsia="en-US"/>
        </w:rPr>
        <w:t xml:space="preserve">За  результатами </w:t>
      </w:r>
      <w:r w:rsidR="0097153E">
        <w:rPr>
          <w:rFonts w:eastAsia="Calibri"/>
          <w:b/>
          <w:sz w:val="22"/>
          <w:szCs w:val="22"/>
          <w:lang w:val="uk-UA" w:eastAsia="en-US"/>
        </w:rPr>
        <w:t xml:space="preserve"> 2017</w:t>
      </w:r>
      <w:r w:rsidR="003717AB" w:rsidRPr="003717AB">
        <w:rPr>
          <w:rFonts w:eastAsia="Calibri"/>
          <w:b/>
          <w:sz w:val="22"/>
          <w:szCs w:val="22"/>
          <w:lang w:val="uk-UA" w:eastAsia="en-US"/>
        </w:rPr>
        <w:t xml:space="preserve"> року Товариство отрим</w:t>
      </w:r>
      <w:r>
        <w:rPr>
          <w:rFonts w:eastAsia="Calibri"/>
          <w:b/>
          <w:sz w:val="22"/>
          <w:szCs w:val="22"/>
          <w:lang w:val="uk-UA" w:eastAsia="en-US"/>
        </w:rPr>
        <w:t xml:space="preserve">ало чистий прибуток в сумі  </w:t>
      </w:r>
      <w:r w:rsidR="00C56EBE" w:rsidRPr="00C56EBE">
        <w:rPr>
          <w:rFonts w:eastAsia="Calibri"/>
          <w:b/>
          <w:sz w:val="22"/>
          <w:szCs w:val="22"/>
          <w:lang w:val="uk-UA" w:eastAsia="en-US"/>
        </w:rPr>
        <w:t>224</w:t>
      </w:r>
      <w:r w:rsidR="003717AB" w:rsidRPr="00C56EBE">
        <w:rPr>
          <w:rFonts w:eastAsia="Calibri"/>
          <w:b/>
          <w:sz w:val="22"/>
          <w:szCs w:val="22"/>
          <w:lang w:val="uk-UA" w:eastAsia="en-US"/>
        </w:rPr>
        <w:t>т</w:t>
      </w:r>
      <w:r w:rsidR="003717AB" w:rsidRPr="003717AB">
        <w:rPr>
          <w:rFonts w:eastAsia="Calibri"/>
          <w:b/>
          <w:sz w:val="22"/>
          <w:szCs w:val="22"/>
          <w:lang w:val="uk-UA" w:eastAsia="en-US"/>
        </w:rPr>
        <w:t>ис. грн.</w:t>
      </w:r>
    </w:p>
    <w:p w:rsidR="003717AB" w:rsidRPr="00BE25C1" w:rsidRDefault="003717AB" w:rsidP="00BE25C1">
      <w:pPr>
        <w:suppressAutoHyphens w:val="0"/>
        <w:spacing w:after="200" w:line="276" w:lineRule="auto"/>
        <w:jc w:val="both"/>
        <w:rPr>
          <w:rFonts w:eastAsia="Calibri"/>
          <w:sz w:val="22"/>
          <w:szCs w:val="22"/>
          <w:lang w:eastAsia="en-US"/>
        </w:rPr>
      </w:pPr>
      <w:r w:rsidRPr="003717AB">
        <w:rPr>
          <w:rFonts w:eastAsia="Calibri"/>
          <w:sz w:val="22"/>
          <w:szCs w:val="22"/>
          <w:lang w:val="uk-UA" w:eastAsia="en-US"/>
        </w:rPr>
        <w:t>проти</w:t>
      </w:r>
      <w:r w:rsidR="0097153E">
        <w:rPr>
          <w:rFonts w:eastAsia="Calibri"/>
          <w:sz w:val="22"/>
          <w:szCs w:val="22"/>
          <w:lang w:val="uk-UA" w:eastAsia="en-US"/>
        </w:rPr>
        <w:t xml:space="preserve"> минулого 2016 року  прибуток   складав 229</w:t>
      </w:r>
      <w:r w:rsidR="00BE25C1">
        <w:rPr>
          <w:rFonts w:eastAsia="Calibri"/>
          <w:sz w:val="22"/>
          <w:szCs w:val="22"/>
          <w:lang w:val="uk-UA" w:eastAsia="en-US"/>
        </w:rPr>
        <w:t xml:space="preserve"> тис. грн..</w:t>
      </w:r>
      <w:r w:rsidRPr="003717AB">
        <w:rPr>
          <w:rFonts w:eastAsia="Calibri"/>
          <w:b/>
          <w:lang w:val="uk-UA" w:eastAsia="en-US"/>
        </w:rPr>
        <w:t xml:space="preserve">                                            </w:t>
      </w:r>
    </w:p>
    <w:p w:rsidR="003717AB" w:rsidRPr="007E112F" w:rsidRDefault="003717AB" w:rsidP="004047BD">
      <w:pPr>
        <w:suppressAutoHyphens w:val="0"/>
        <w:autoSpaceDE w:val="0"/>
        <w:autoSpaceDN w:val="0"/>
        <w:adjustRightInd w:val="0"/>
        <w:spacing w:before="240"/>
        <w:contextualSpacing/>
        <w:jc w:val="both"/>
        <w:rPr>
          <w:rFonts w:eastAsia="Calibri"/>
          <w:lang w:val="uk-UA" w:eastAsia="en-US"/>
        </w:rPr>
      </w:pPr>
      <w:r w:rsidRPr="003717AB">
        <w:rPr>
          <w:rFonts w:eastAsia="Calibri"/>
          <w:b/>
          <w:sz w:val="28"/>
          <w:szCs w:val="28"/>
          <w:lang w:val="uk-UA" w:eastAsia="en-US"/>
        </w:rPr>
        <w:t xml:space="preserve">      </w:t>
      </w:r>
      <w:r w:rsidR="00357A2C">
        <w:rPr>
          <w:rFonts w:eastAsia="Calibri"/>
          <w:b/>
          <w:lang w:val="uk-UA" w:eastAsia="en-US"/>
        </w:rPr>
        <w:t>5</w:t>
      </w:r>
      <w:r w:rsidR="00F71119">
        <w:rPr>
          <w:rFonts w:eastAsia="Calibri"/>
          <w:b/>
          <w:lang w:val="uk-UA" w:eastAsia="en-US"/>
        </w:rPr>
        <w:t>.12</w:t>
      </w:r>
      <w:r w:rsidRPr="007E112F">
        <w:rPr>
          <w:rFonts w:eastAsia="Calibri"/>
          <w:b/>
          <w:lang w:val="uk-UA" w:eastAsia="en-US"/>
        </w:rPr>
        <w:t>.Непередбачені зобов’язання та непередбачені активи  Товариства</w:t>
      </w:r>
      <w:r w:rsidRPr="007E112F">
        <w:rPr>
          <w:rFonts w:eastAsia="Calibri"/>
          <w:lang w:val="uk-UA" w:eastAsia="en-US"/>
        </w:rPr>
        <w:t>.</w:t>
      </w:r>
    </w:p>
    <w:p w:rsidR="003717AB" w:rsidRPr="003717AB" w:rsidRDefault="003717AB" w:rsidP="004047BD">
      <w:pPr>
        <w:suppressAutoHyphens w:val="0"/>
        <w:autoSpaceDE w:val="0"/>
        <w:autoSpaceDN w:val="0"/>
        <w:adjustRightInd w:val="0"/>
        <w:spacing w:before="240"/>
        <w:ind w:left="360"/>
        <w:contextualSpacing/>
        <w:jc w:val="both"/>
        <w:rPr>
          <w:rFonts w:eastAsia="Calibri"/>
          <w:lang w:val="uk-UA" w:eastAsia="en-US"/>
        </w:rPr>
      </w:pPr>
    </w:p>
    <w:p w:rsidR="003717AB" w:rsidRPr="003717AB" w:rsidRDefault="003717AB" w:rsidP="00BE25C1">
      <w:pPr>
        <w:suppressAutoHyphens w:val="0"/>
        <w:autoSpaceDE w:val="0"/>
        <w:autoSpaceDN w:val="0"/>
        <w:adjustRightInd w:val="0"/>
        <w:spacing w:before="240"/>
        <w:ind w:left="360"/>
        <w:contextualSpacing/>
        <w:jc w:val="both"/>
        <w:rPr>
          <w:rFonts w:eastAsia="Calibri"/>
          <w:lang w:val="uk-UA" w:eastAsia="en-US"/>
        </w:rPr>
      </w:pPr>
      <w:r w:rsidRPr="003717AB">
        <w:rPr>
          <w:rFonts w:eastAsia="Calibri"/>
          <w:lang w:val="uk-UA" w:eastAsia="en-US"/>
        </w:rPr>
        <w:t>Непередбачені зобов’язання та  непередбачені активи у Товарис</w:t>
      </w:r>
      <w:r w:rsidR="0097153E">
        <w:rPr>
          <w:rFonts w:eastAsia="Calibri"/>
          <w:lang w:val="uk-UA" w:eastAsia="en-US"/>
        </w:rPr>
        <w:t>тва на 31.12.2017</w:t>
      </w:r>
      <w:r w:rsidR="00BE25C1">
        <w:rPr>
          <w:rFonts w:eastAsia="Calibri"/>
          <w:lang w:val="uk-UA" w:eastAsia="en-US"/>
        </w:rPr>
        <w:t xml:space="preserve"> р. відсутні. </w:t>
      </w:r>
    </w:p>
    <w:p w:rsidR="003717AB" w:rsidRPr="003717AB" w:rsidRDefault="00357A2C" w:rsidP="004047BD">
      <w:pPr>
        <w:suppressAutoHyphens w:val="0"/>
        <w:spacing w:after="120"/>
        <w:ind w:left="426" w:hanging="426"/>
        <w:jc w:val="both"/>
        <w:rPr>
          <w:rFonts w:eastAsia="Calibri"/>
          <w:b/>
          <w:sz w:val="28"/>
          <w:szCs w:val="28"/>
          <w:lang w:val="uk-UA" w:eastAsia="en-US"/>
        </w:rPr>
      </w:pPr>
      <w:r>
        <w:rPr>
          <w:rFonts w:eastAsia="Calibri"/>
          <w:b/>
          <w:sz w:val="28"/>
          <w:szCs w:val="28"/>
          <w:lang w:val="uk-UA" w:eastAsia="en-US"/>
        </w:rPr>
        <w:t>5</w:t>
      </w:r>
      <w:r w:rsidR="00F71119">
        <w:rPr>
          <w:rFonts w:eastAsia="Calibri"/>
          <w:b/>
          <w:sz w:val="28"/>
          <w:szCs w:val="28"/>
          <w:lang w:val="uk-UA" w:eastAsia="en-US"/>
        </w:rPr>
        <w:t>.13</w:t>
      </w:r>
      <w:r w:rsidR="003717AB" w:rsidRPr="007E112F">
        <w:rPr>
          <w:rFonts w:eastAsia="Calibri"/>
          <w:b/>
          <w:lang w:val="uk-UA" w:eastAsia="en-US"/>
        </w:rPr>
        <w:t>. Подiї пiсля дати балансу</w:t>
      </w:r>
    </w:p>
    <w:p w:rsidR="003717AB" w:rsidRPr="003717AB" w:rsidRDefault="003717AB" w:rsidP="004047BD">
      <w:pPr>
        <w:suppressAutoHyphens w:val="0"/>
        <w:autoSpaceDE w:val="0"/>
        <w:autoSpaceDN w:val="0"/>
        <w:adjustRightInd w:val="0"/>
        <w:spacing w:before="240"/>
        <w:contextualSpacing/>
        <w:jc w:val="both"/>
        <w:rPr>
          <w:rFonts w:eastAsia="Calibri"/>
          <w:lang w:val="uk-UA" w:eastAsia="en-US"/>
        </w:rPr>
      </w:pPr>
      <w:r w:rsidRPr="003717AB">
        <w:rPr>
          <w:rFonts w:eastAsia="Calibri"/>
          <w:lang w:val="uk-UA" w:eastAsia="en-US"/>
        </w:rPr>
        <w:t xml:space="preserve">Події, які відбулися після дати балансу і які впливають на фінансову звітність товариства у підприємства відсутні. </w:t>
      </w:r>
    </w:p>
    <w:p w:rsidR="003717AB" w:rsidRPr="003717AB" w:rsidRDefault="003717AB" w:rsidP="004047BD">
      <w:pPr>
        <w:suppressAutoHyphens w:val="0"/>
        <w:autoSpaceDE w:val="0"/>
        <w:autoSpaceDN w:val="0"/>
        <w:adjustRightInd w:val="0"/>
        <w:spacing w:before="240"/>
        <w:ind w:left="360"/>
        <w:contextualSpacing/>
        <w:jc w:val="both"/>
        <w:rPr>
          <w:rFonts w:eastAsia="Calibri"/>
          <w:lang w:val="uk-UA" w:eastAsia="en-US"/>
        </w:rPr>
      </w:pPr>
    </w:p>
    <w:p w:rsidR="003717AB" w:rsidRPr="003717AB" w:rsidRDefault="00357A2C" w:rsidP="004047BD">
      <w:pPr>
        <w:suppressAutoHyphens w:val="0"/>
        <w:spacing w:line="276" w:lineRule="auto"/>
        <w:ind w:left="360"/>
        <w:contextualSpacing/>
        <w:jc w:val="both"/>
        <w:rPr>
          <w:rFonts w:eastAsia="Calibri"/>
          <w:i/>
          <w:lang w:val="uk-UA" w:eastAsia="en-US"/>
        </w:rPr>
      </w:pPr>
      <w:r>
        <w:rPr>
          <w:rFonts w:eastAsia="Calibri"/>
          <w:b/>
          <w:sz w:val="28"/>
          <w:szCs w:val="28"/>
          <w:lang w:val="uk-UA" w:eastAsia="en-US"/>
        </w:rPr>
        <w:t>5</w:t>
      </w:r>
      <w:r w:rsidR="00F71119">
        <w:rPr>
          <w:rFonts w:eastAsia="Calibri"/>
          <w:b/>
          <w:sz w:val="28"/>
          <w:szCs w:val="28"/>
          <w:lang w:val="uk-UA" w:eastAsia="en-US"/>
        </w:rPr>
        <w:t>.14</w:t>
      </w:r>
      <w:r w:rsidR="003717AB" w:rsidRPr="003717AB">
        <w:rPr>
          <w:rFonts w:eastAsia="Calibri"/>
          <w:b/>
          <w:sz w:val="28"/>
          <w:szCs w:val="28"/>
          <w:lang w:val="uk-UA" w:eastAsia="en-US"/>
        </w:rPr>
        <w:t>.</w:t>
      </w:r>
      <w:r w:rsidR="003717AB" w:rsidRPr="00C00774">
        <w:rPr>
          <w:rFonts w:eastAsia="Calibri"/>
          <w:b/>
          <w:lang w:val="uk-UA" w:eastAsia="en-US"/>
        </w:rPr>
        <w:t>Аналіз впливу внесених коригувань на вартість власного капіталу і фінан</w:t>
      </w:r>
      <w:r w:rsidR="0097153E">
        <w:rPr>
          <w:rFonts w:eastAsia="Calibri"/>
          <w:b/>
          <w:lang w:val="uk-UA" w:eastAsia="en-US"/>
        </w:rPr>
        <w:t>сового результату в 2017</w:t>
      </w:r>
      <w:r w:rsidR="003717AB" w:rsidRPr="00C00774">
        <w:rPr>
          <w:rFonts w:eastAsia="Calibri"/>
          <w:b/>
          <w:lang w:val="uk-UA" w:eastAsia="en-US"/>
        </w:rPr>
        <w:t xml:space="preserve"> р.                  </w:t>
      </w:r>
      <w:r w:rsidR="003717AB" w:rsidRPr="00C00774">
        <w:rPr>
          <w:rFonts w:eastAsia="Calibri"/>
          <w:i/>
          <w:lang w:val="uk-UA" w:eastAsia="en-US"/>
        </w:rPr>
        <w:t xml:space="preserve">                                                                                                                                    </w:t>
      </w:r>
    </w:p>
    <w:p w:rsidR="003717AB" w:rsidRPr="003717AB" w:rsidRDefault="003717AB" w:rsidP="004047BD">
      <w:pPr>
        <w:suppressAutoHyphens w:val="0"/>
        <w:spacing w:line="276" w:lineRule="auto"/>
        <w:jc w:val="both"/>
        <w:rPr>
          <w:rFonts w:eastAsia="Calibri"/>
          <w:i/>
          <w:lang w:eastAsia="en-US"/>
        </w:rPr>
      </w:pPr>
      <w:r w:rsidRPr="003717AB">
        <w:rPr>
          <w:rFonts w:eastAsia="Calibri"/>
          <w:i/>
          <w:lang w:val="uk-UA" w:eastAsia="en-US"/>
        </w:rPr>
        <w:t xml:space="preserve">                                                                                                                           </w:t>
      </w:r>
      <w:r w:rsidRPr="003717AB">
        <w:rPr>
          <w:rFonts w:eastAsia="Calibri"/>
          <w:i/>
          <w:lang w:eastAsia="en-US"/>
        </w:rPr>
        <w:t>тис. грн.</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3"/>
        <w:gridCol w:w="1440"/>
        <w:gridCol w:w="1080"/>
        <w:gridCol w:w="1440"/>
        <w:gridCol w:w="1620"/>
        <w:gridCol w:w="1589"/>
      </w:tblGrid>
      <w:tr w:rsidR="003717AB" w:rsidRPr="003717AB" w:rsidTr="003717AB">
        <w:tc>
          <w:tcPr>
            <w:tcW w:w="2613" w:type="dxa"/>
            <w:shd w:val="clear" w:color="auto" w:fill="auto"/>
          </w:tcPr>
          <w:p w:rsidR="003717AB" w:rsidRPr="003717AB" w:rsidRDefault="003717AB" w:rsidP="004047BD">
            <w:pPr>
              <w:suppressAutoHyphens w:val="0"/>
              <w:autoSpaceDE w:val="0"/>
              <w:autoSpaceDN w:val="0"/>
              <w:adjustRightInd w:val="0"/>
              <w:ind w:left="601" w:hanging="601"/>
              <w:jc w:val="both"/>
              <w:rPr>
                <w:rFonts w:eastAsia="Calibri"/>
                <w:b/>
                <w:lang w:eastAsia="en-US"/>
              </w:rPr>
            </w:pPr>
          </w:p>
        </w:tc>
        <w:tc>
          <w:tcPr>
            <w:tcW w:w="1440" w:type="dxa"/>
            <w:shd w:val="clear" w:color="auto" w:fill="auto"/>
          </w:tcPr>
          <w:p w:rsidR="003717AB" w:rsidRPr="003717AB" w:rsidRDefault="003717AB" w:rsidP="004047BD">
            <w:pPr>
              <w:suppressAutoHyphens w:val="0"/>
              <w:autoSpaceDE w:val="0"/>
              <w:autoSpaceDN w:val="0"/>
              <w:adjustRightInd w:val="0"/>
              <w:jc w:val="both"/>
              <w:rPr>
                <w:rFonts w:eastAsia="Calibri"/>
                <w:b/>
                <w:sz w:val="22"/>
                <w:szCs w:val="22"/>
                <w:lang w:eastAsia="en-US"/>
              </w:rPr>
            </w:pPr>
            <w:r w:rsidRPr="003717AB">
              <w:rPr>
                <w:b/>
                <w:bCs/>
                <w:color w:val="000000"/>
                <w:sz w:val="22"/>
                <w:szCs w:val="22"/>
                <w:lang w:val="uk-UA" w:eastAsia="uk-UA"/>
              </w:rPr>
              <w:t>Статутний капітал</w:t>
            </w:r>
          </w:p>
        </w:tc>
        <w:tc>
          <w:tcPr>
            <w:tcW w:w="1080" w:type="dxa"/>
          </w:tcPr>
          <w:p w:rsidR="003717AB" w:rsidRPr="003717AB" w:rsidRDefault="003717AB" w:rsidP="004047BD">
            <w:pPr>
              <w:suppressAutoHyphens w:val="0"/>
              <w:jc w:val="both"/>
              <w:rPr>
                <w:b/>
                <w:bCs/>
                <w:color w:val="000000"/>
                <w:sz w:val="22"/>
                <w:szCs w:val="22"/>
                <w:lang w:val="uk-UA" w:eastAsia="uk-UA"/>
              </w:rPr>
            </w:pPr>
            <w:r w:rsidRPr="003717AB">
              <w:rPr>
                <w:b/>
                <w:bCs/>
                <w:color w:val="000000"/>
                <w:sz w:val="22"/>
                <w:szCs w:val="22"/>
                <w:lang w:val="uk-UA" w:eastAsia="uk-UA"/>
              </w:rPr>
              <w:t>резервний капітал</w:t>
            </w:r>
          </w:p>
        </w:tc>
        <w:tc>
          <w:tcPr>
            <w:tcW w:w="1440" w:type="dxa"/>
            <w:shd w:val="clear" w:color="auto" w:fill="auto"/>
            <w:vAlign w:val="center"/>
          </w:tcPr>
          <w:p w:rsidR="003717AB" w:rsidRPr="003717AB" w:rsidRDefault="003717AB" w:rsidP="004047BD">
            <w:pPr>
              <w:suppressAutoHyphens w:val="0"/>
              <w:jc w:val="both"/>
              <w:rPr>
                <w:b/>
                <w:bCs/>
                <w:color w:val="000000"/>
                <w:sz w:val="22"/>
                <w:szCs w:val="22"/>
                <w:lang w:val="uk-UA" w:eastAsia="uk-UA"/>
              </w:rPr>
            </w:pPr>
            <w:r w:rsidRPr="003717AB">
              <w:rPr>
                <w:b/>
                <w:bCs/>
                <w:color w:val="000000"/>
                <w:sz w:val="22"/>
                <w:szCs w:val="22"/>
                <w:lang w:val="uk-UA" w:eastAsia="uk-UA"/>
              </w:rPr>
              <w:t>капітал у дооцінках</w:t>
            </w:r>
          </w:p>
        </w:tc>
        <w:tc>
          <w:tcPr>
            <w:tcW w:w="1620" w:type="dxa"/>
            <w:shd w:val="clear" w:color="auto" w:fill="auto"/>
            <w:vAlign w:val="center"/>
          </w:tcPr>
          <w:p w:rsidR="003717AB" w:rsidRPr="003717AB" w:rsidRDefault="003717AB" w:rsidP="004047BD">
            <w:pPr>
              <w:suppressAutoHyphens w:val="0"/>
              <w:jc w:val="both"/>
              <w:rPr>
                <w:b/>
                <w:bCs/>
                <w:color w:val="000000"/>
                <w:sz w:val="22"/>
                <w:szCs w:val="22"/>
                <w:lang w:val="uk-UA" w:eastAsia="uk-UA"/>
              </w:rPr>
            </w:pPr>
            <w:r w:rsidRPr="003717AB">
              <w:rPr>
                <w:b/>
                <w:bCs/>
                <w:color w:val="000000"/>
                <w:sz w:val="22"/>
                <w:szCs w:val="22"/>
                <w:lang w:val="uk-UA" w:eastAsia="uk-UA"/>
              </w:rPr>
              <w:t>Нерозподілений прибуток</w:t>
            </w:r>
          </w:p>
        </w:tc>
        <w:tc>
          <w:tcPr>
            <w:tcW w:w="1589" w:type="dxa"/>
            <w:shd w:val="clear" w:color="auto" w:fill="auto"/>
            <w:vAlign w:val="center"/>
          </w:tcPr>
          <w:p w:rsidR="003717AB" w:rsidRPr="003717AB" w:rsidRDefault="003717AB" w:rsidP="004047BD">
            <w:pPr>
              <w:suppressAutoHyphens w:val="0"/>
              <w:jc w:val="both"/>
              <w:rPr>
                <w:b/>
                <w:bCs/>
                <w:color w:val="000000"/>
                <w:sz w:val="22"/>
                <w:szCs w:val="22"/>
                <w:lang w:val="uk-UA" w:eastAsia="uk-UA"/>
              </w:rPr>
            </w:pPr>
            <w:r w:rsidRPr="003717AB">
              <w:rPr>
                <w:b/>
                <w:bCs/>
                <w:color w:val="000000"/>
                <w:sz w:val="22"/>
                <w:szCs w:val="22"/>
                <w:lang w:val="uk-UA" w:eastAsia="uk-UA"/>
              </w:rPr>
              <w:t>Усього</w:t>
            </w:r>
          </w:p>
        </w:tc>
      </w:tr>
      <w:tr w:rsidR="009C251F" w:rsidRPr="003717AB" w:rsidTr="003717AB">
        <w:tc>
          <w:tcPr>
            <w:tcW w:w="2613" w:type="dxa"/>
            <w:shd w:val="clear" w:color="auto" w:fill="auto"/>
          </w:tcPr>
          <w:p w:rsidR="009C251F" w:rsidRPr="003717AB" w:rsidRDefault="009C251F" w:rsidP="00C00774">
            <w:pPr>
              <w:suppressAutoHyphens w:val="0"/>
              <w:autoSpaceDE w:val="0"/>
              <w:autoSpaceDN w:val="0"/>
              <w:adjustRightInd w:val="0"/>
              <w:rPr>
                <w:rFonts w:eastAsia="Calibri"/>
                <w:lang w:eastAsia="en-US"/>
              </w:rPr>
            </w:pPr>
            <w:r>
              <w:rPr>
                <w:rFonts w:eastAsia="Calibri"/>
                <w:lang w:eastAsia="en-US"/>
              </w:rPr>
              <w:t>1.Залишок на 31.12.201</w:t>
            </w:r>
            <w:r>
              <w:rPr>
                <w:rFonts w:eastAsia="Calibri"/>
                <w:lang w:val="uk-UA" w:eastAsia="en-US"/>
              </w:rPr>
              <w:t>7</w:t>
            </w:r>
            <w:r w:rsidRPr="003717AB">
              <w:rPr>
                <w:rFonts w:eastAsia="Calibri"/>
                <w:lang w:eastAsia="en-US"/>
              </w:rPr>
              <w:t xml:space="preserve"> р.</w:t>
            </w:r>
          </w:p>
        </w:tc>
        <w:tc>
          <w:tcPr>
            <w:tcW w:w="1440" w:type="dxa"/>
            <w:shd w:val="clear" w:color="auto" w:fill="auto"/>
          </w:tcPr>
          <w:p w:rsidR="009C251F" w:rsidRPr="0014349F" w:rsidRDefault="009C251F" w:rsidP="00051F3A">
            <w:r w:rsidRPr="0014349F">
              <w:t>200</w:t>
            </w:r>
          </w:p>
        </w:tc>
        <w:tc>
          <w:tcPr>
            <w:tcW w:w="1080" w:type="dxa"/>
          </w:tcPr>
          <w:p w:rsidR="009C251F" w:rsidRPr="0014349F" w:rsidRDefault="009C251F" w:rsidP="00051F3A">
            <w:r w:rsidRPr="0014349F">
              <w:t>71</w:t>
            </w:r>
          </w:p>
        </w:tc>
        <w:tc>
          <w:tcPr>
            <w:tcW w:w="1440" w:type="dxa"/>
            <w:shd w:val="clear" w:color="auto" w:fill="auto"/>
          </w:tcPr>
          <w:p w:rsidR="009C251F" w:rsidRPr="0014349F" w:rsidRDefault="009C251F" w:rsidP="00051F3A">
            <w:r w:rsidRPr="0014349F">
              <w:t>-</w:t>
            </w:r>
          </w:p>
        </w:tc>
        <w:tc>
          <w:tcPr>
            <w:tcW w:w="1620" w:type="dxa"/>
            <w:shd w:val="clear" w:color="auto" w:fill="auto"/>
          </w:tcPr>
          <w:p w:rsidR="009C251F" w:rsidRPr="0014349F" w:rsidRDefault="009C251F" w:rsidP="00051F3A">
            <w:r w:rsidRPr="0014349F">
              <w:t>816</w:t>
            </w:r>
          </w:p>
        </w:tc>
        <w:tc>
          <w:tcPr>
            <w:tcW w:w="1589" w:type="dxa"/>
            <w:shd w:val="clear" w:color="auto" w:fill="auto"/>
          </w:tcPr>
          <w:p w:rsidR="009C251F" w:rsidRDefault="009C251F" w:rsidP="00051F3A">
            <w:r w:rsidRPr="0014349F">
              <w:t>1087</w:t>
            </w:r>
          </w:p>
        </w:tc>
      </w:tr>
      <w:tr w:rsidR="003717AB" w:rsidRPr="003717AB" w:rsidTr="003717AB">
        <w:tc>
          <w:tcPr>
            <w:tcW w:w="2613" w:type="dxa"/>
            <w:shd w:val="clear" w:color="auto" w:fill="auto"/>
          </w:tcPr>
          <w:p w:rsidR="003717AB" w:rsidRPr="003717AB" w:rsidRDefault="003717AB" w:rsidP="004047BD">
            <w:pPr>
              <w:suppressAutoHyphens w:val="0"/>
              <w:autoSpaceDE w:val="0"/>
              <w:autoSpaceDN w:val="0"/>
              <w:adjustRightInd w:val="0"/>
              <w:jc w:val="both"/>
              <w:rPr>
                <w:rFonts w:eastAsia="Calibri"/>
                <w:lang w:eastAsia="en-US"/>
              </w:rPr>
            </w:pPr>
            <w:r w:rsidRPr="003717AB">
              <w:rPr>
                <w:rFonts w:eastAsia="Calibri"/>
                <w:lang w:eastAsia="en-US"/>
              </w:rPr>
              <w:t xml:space="preserve">2. Коригування </w:t>
            </w:r>
          </w:p>
        </w:tc>
        <w:tc>
          <w:tcPr>
            <w:tcW w:w="1440" w:type="dxa"/>
            <w:shd w:val="clear" w:color="auto" w:fill="auto"/>
          </w:tcPr>
          <w:p w:rsidR="003717AB" w:rsidRPr="001C32B1" w:rsidRDefault="001C32B1" w:rsidP="004047BD">
            <w:pPr>
              <w:suppressAutoHyphens w:val="0"/>
              <w:autoSpaceDE w:val="0"/>
              <w:autoSpaceDN w:val="0"/>
              <w:adjustRightInd w:val="0"/>
              <w:jc w:val="both"/>
              <w:rPr>
                <w:rFonts w:eastAsia="Calibri"/>
                <w:i/>
                <w:lang w:val="uk-UA" w:eastAsia="en-US"/>
              </w:rPr>
            </w:pPr>
            <w:r>
              <w:rPr>
                <w:rFonts w:eastAsia="Calibri"/>
                <w:i/>
                <w:lang w:val="uk-UA" w:eastAsia="en-US"/>
              </w:rPr>
              <w:t>-</w:t>
            </w:r>
          </w:p>
        </w:tc>
        <w:tc>
          <w:tcPr>
            <w:tcW w:w="1080" w:type="dxa"/>
          </w:tcPr>
          <w:p w:rsidR="003717AB" w:rsidRPr="001C32B1" w:rsidRDefault="001C32B1" w:rsidP="004047BD">
            <w:pPr>
              <w:suppressAutoHyphens w:val="0"/>
              <w:autoSpaceDE w:val="0"/>
              <w:autoSpaceDN w:val="0"/>
              <w:adjustRightInd w:val="0"/>
              <w:jc w:val="both"/>
              <w:rPr>
                <w:rFonts w:eastAsia="Calibri"/>
                <w:i/>
                <w:lang w:val="uk-UA" w:eastAsia="en-US"/>
              </w:rPr>
            </w:pPr>
            <w:r>
              <w:rPr>
                <w:rFonts w:eastAsia="Calibri"/>
                <w:i/>
                <w:lang w:val="uk-UA" w:eastAsia="en-US"/>
              </w:rPr>
              <w:t>--</w:t>
            </w:r>
          </w:p>
        </w:tc>
        <w:tc>
          <w:tcPr>
            <w:tcW w:w="1440" w:type="dxa"/>
            <w:shd w:val="clear" w:color="auto" w:fill="auto"/>
          </w:tcPr>
          <w:p w:rsidR="003717AB" w:rsidRPr="001C32B1" w:rsidRDefault="001C32B1" w:rsidP="004047BD">
            <w:pPr>
              <w:suppressAutoHyphens w:val="0"/>
              <w:autoSpaceDE w:val="0"/>
              <w:autoSpaceDN w:val="0"/>
              <w:adjustRightInd w:val="0"/>
              <w:jc w:val="both"/>
              <w:rPr>
                <w:rFonts w:eastAsia="Calibri"/>
                <w:i/>
                <w:lang w:val="uk-UA" w:eastAsia="en-US"/>
              </w:rPr>
            </w:pPr>
            <w:r>
              <w:rPr>
                <w:rFonts w:eastAsia="Calibri"/>
                <w:i/>
                <w:lang w:val="uk-UA" w:eastAsia="en-US"/>
              </w:rPr>
              <w:t>-</w:t>
            </w:r>
          </w:p>
        </w:tc>
        <w:tc>
          <w:tcPr>
            <w:tcW w:w="1620" w:type="dxa"/>
            <w:shd w:val="clear" w:color="auto" w:fill="auto"/>
          </w:tcPr>
          <w:p w:rsidR="003717AB" w:rsidRPr="001C32B1" w:rsidRDefault="001C32B1" w:rsidP="004047BD">
            <w:pPr>
              <w:suppressAutoHyphens w:val="0"/>
              <w:autoSpaceDE w:val="0"/>
              <w:autoSpaceDN w:val="0"/>
              <w:adjustRightInd w:val="0"/>
              <w:jc w:val="both"/>
              <w:rPr>
                <w:rFonts w:eastAsia="Calibri"/>
                <w:i/>
                <w:lang w:val="uk-UA" w:eastAsia="en-US"/>
              </w:rPr>
            </w:pPr>
            <w:r>
              <w:rPr>
                <w:rFonts w:eastAsia="Calibri"/>
                <w:i/>
                <w:lang w:val="uk-UA" w:eastAsia="en-US"/>
              </w:rPr>
              <w:t>-</w:t>
            </w:r>
          </w:p>
        </w:tc>
        <w:tc>
          <w:tcPr>
            <w:tcW w:w="1589" w:type="dxa"/>
            <w:shd w:val="clear" w:color="auto" w:fill="auto"/>
          </w:tcPr>
          <w:p w:rsidR="003717AB" w:rsidRPr="001C32B1" w:rsidRDefault="001C32B1" w:rsidP="004047BD">
            <w:pPr>
              <w:suppressAutoHyphens w:val="0"/>
              <w:autoSpaceDE w:val="0"/>
              <w:autoSpaceDN w:val="0"/>
              <w:adjustRightInd w:val="0"/>
              <w:jc w:val="both"/>
              <w:rPr>
                <w:rFonts w:eastAsia="Calibri"/>
                <w:i/>
                <w:lang w:val="uk-UA" w:eastAsia="en-US"/>
              </w:rPr>
            </w:pPr>
            <w:r>
              <w:rPr>
                <w:rFonts w:eastAsia="Calibri"/>
                <w:i/>
                <w:lang w:val="uk-UA" w:eastAsia="en-US"/>
              </w:rPr>
              <w:t>-</w:t>
            </w:r>
          </w:p>
        </w:tc>
      </w:tr>
      <w:tr w:rsidR="009C251F" w:rsidRPr="003717AB" w:rsidTr="003717AB">
        <w:tc>
          <w:tcPr>
            <w:tcW w:w="2613" w:type="dxa"/>
            <w:shd w:val="clear" w:color="auto" w:fill="auto"/>
          </w:tcPr>
          <w:p w:rsidR="009C251F" w:rsidRPr="003717AB" w:rsidRDefault="009C251F" w:rsidP="004047BD">
            <w:pPr>
              <w:suppressAutoHyphens w:val="0"/>
              <w:autoSpaceDE w:val="0"/>
              <w:autoSpaceDN w:val="0"/>
              <w:adjustRightInd w:val="0"/>
              <w:jc w:val="both"/>
              <w:rPr>
                <w:rFonts w:eastAsia="Calibri"/>
                <w:lang w:eastAsia="en-US"/>
              </w:rPr>
            </w:pPr>
            <w:r w:rsidRPr="003717AB">
              <w:rPr>
                <w:rFonts w:eastAsia="Calibri"/>
                <w:lang w:eastAsia="en-US"/>
              </w:rPr>
              <w:t>3.</w:t>
            </w:r>
            <w:r>
              <w:rPr>
                <w:rFonts w:eastAsia="Calibri"/>
                <w:lang w:eastAsia="en-US"/>
              </w:rPr>
              <w:t xml:space="preserve">Скориговані </w:t>
            </w:r>
            <w:r>
              <w:rPr>
                <w:rFonts w:eastAsia="Calibri"/>
                <w:lang w:eastAsia="en-US"/>
              </w:rPr>
              <w:lastRenderedPageBreak/>
              <w:t>залишки на 01.01.</w:t>
            </w:r>
            <w:r>
              <w:rPr>
                <w:rFonts w:eastAsia="Calibri"/>
                <w:lang w:val="uk-UA" w:eastAsia="en-US"/>
              </w:rPr>
              <w:t>17</w:t>
            </w:r>
            <w:r w:rsidRPr="003717AB">
              <w:rPr>
                <w:rFonts w:eastAsia="Calibri"/>
                <w:lang w:eastAsia="en-US"/>
              </w:rPr>
              <w:t xml:space="preserve"> р. </w:t>
            </w:r>
          </w:p>
        </w:tc>
        <w:tc>
          <w:tcPr>
            <w:tcW w:w="1440" w:type="dxa"/>
            <w:shd w:val="clear" w:color="auto" w:fill="auto"/>
          </w:tcPr>
          <w:p w:rsidR="009C251F" w:rsidRPr="00E21A6B" w:rsidRDefault="009C251F" w:rsidP="002221A7">
            <w:r w:rsidRPr="00E21A6B">
              <w:lastRenderedPageBreak/>
              <w:t>200</w:t>
            </w:r>
          </w:p>
        </w:tc>
        <w:tc>
          <w:tcPr>
            <w:tcW w:w="1080" w:type="dxa"/>
          </w:tcPr>
          <w:p w:rsidR="009C251F" w:rsidRPr="00E21A6B" w:rsidRDefault="009C251F" w:rsidP="002221A7">
            <w:r w:rsidRPr="00E21A6B">
              <w:t>71</w:t>
            </w:r>
          </w:p>
        </w:tc>
        <w:tc>
          <w:tcPr>
            <w:tcW w:w="1440" w:type="dxa"/>
            <w:shd w:val="clear" w:color="auto" w:fill="auto"/>
          </w:tcPr>
          <w:p w:rsidR="009C251F" w:rsidRPr="00E21A6B" w:rsidRDefault="009C251F" w:rsidP="002221A7">
            <w:r w:rsidRPr="00E21A6B">
              <w:t>-</w:t>
            </w:r>
          </w:p>
        </w:tc>
        <w:tc>
          <w:tcPr>
            <w:tcW w:w="1620" w:type="dxa"/>
            <w:shd w:val="clear" w:color="auto" w:fill="auto"/>
          </w:tcPr>
          <w:p w:rsidR="009C251F" w:rsidRPr="00E21A6B" w:rsidRDefault="009C251F" w:rsidP="002221A7">
            <w:r w:rsidRPr="00E21A6B">
              <w:t>816</w:t>
            </w:r>
          </w:p>
        </w:tc>
        <w:tc>
          <w:tcPr>
            <w:tcW w:w="1589" w:type="dxa"/>
            <w:shd w:val="clear" w:color="auto" w:fill="auto"/>
          </w:tcPr>
          <w:p w:rsidR="009C251F" w:rsidRDefault="009C251F" w:rsidP="002221A7">
            <w:r w:rsidRPr="00E21A6B">
              <w:t>1087</w:t>
            </w:r>
          </w:p>
        </w:tc>
      </w:tr>
      <w:tr w:rsidR="003717AB" w:rsidRPr="003717AB" w:rsidTr="003717AB">
        <w:tc>
          <w:tcPr>
            <w:tcW w:w="2613" w:type="dxa"/>
            <w:shd w:val="clear" w:color="auto" w:fill="auto"/>
          </w:tcPr>
          <w:p w:rsidR="003717AB" w:rsidRPr="003717AB" w:rsidRDefault="00065166" w:rsidP="004047BD">
            <w:pPr>
              <w:suppressAutoHyphens w:val="0"/>
              <w:autoSpaceDE w:val="0"/>
              <w:autoSpaceDN w:val="0"/>
              <w:adjustRightInd w:val="0"/>
              <w:jc w:val="both"/>
              <w:rPr>
                <w:rFonts w:eastAsia="Calibri"/>
                <w:lang w:eastAsia="en-US"/>
              </w:rPr>
            </w:pPr>
            <w:r>
              <w:rPr>
                <w:rFonts w:eastAsia="Calibri"/>
                <w:lang w:eastAsia="en-US"/>
              </w:rPr>
              <w:lastRenderedPageBreak/>
              <w:t>4.Зміни за 201</w:t>
            </w:r>
            <w:r>
              <w:rPr>
                <w:rFonts w:eastAsia="Calibri"/>
                <w:lang w:val="uk-UA" w:eastAsia="en-US"/>
              </w:rPr>
              <w:t>7</w:t>
            </w:r>
            <w:r w:rsidR="003717AB" w:rsidRPr="003717AB">
              <w:rPr>
                <w:rFonts w:eastAsia="Calibri"/>
                <w:lang w:eastAsia="en-US"/>
              </w:rPr>
              <w:t xml:space="preserve"> рік </w:t>
            </w:r>
          </w:p>
        </w:tc>
        <w:tc>
          <w:tcPr>
            <w:tcW w:w="1440" w:type="dxa"/>
            <w:shd w:val="clear" w:color="auto" w:fill="auto"/>
            <w:vAlign w:val="bottom"/>
          </w:tcPr>
          <w:p w:rsidR="003717AB" w:rsidRPr="003717AB" w:rsidRDefault="00BE25C1" w:rsidP="004047BD">
            <w:pPr>
              <w:suppressAutoHyphens w:val="0"/>
              <w:jc w:val="both"/>
              <w:rPr>
                <w:bCs/>
                <w:color w:val="000000"/>
                <w:lang w:val="uk-UA" w:eastAsia="uk-UA"/>
              </w:rPr>
            </w:pPr>
            <w:r>
              <w:rPr>
                <w:bCs/>
                <w:color w:val="000000"/>
                <w:lang w:val="uk-UA" w:eastAsia="uk-UA"/>
              </w:rPr>
              <w:t>-</w:t>
            </w:r>
          </w:p>
        </w:tc>
        <w:tc>
          <w:tcPr>
            <w:tcW w:w="1080" w:type="dxa"/>
          </w:tcPr>
          <w:p w:rsidR="003717AB" w:rsidRPr="003717AB" w:rsidRDefault="00BE25C1" w:rsidP="004047BD">
            <w:pPr>
              <w:suppressAutoHyphens w:val="0"/>
              <w:jc w:val="both"/>
              <w:rPr>
                <w:color w:val="000000"/>
                <w:lang w:val="uk-UA" w:eastAsia="uk-UA"/>
              </w:rPr>
            </w:pPr>
            <w:r>
              <w:rPr>
                <w:color w:val="000000"/>
                <w:lang w:val="uk-UA" w:eastAsia="uk-UA"/>
              </w:rPr>
              <w:t>12</w:t>
            </w:r>
          </w:p>
        </w:tc>
        <w:tc>
          <w:tcPr>
            <w:tcW w:w="1440" w:type="dxa"/>
            <w:shd w:val="clear" w:color="auto" w:fill="auto"/>
            <w:vAlign w:val="bottom"/>
          </w:tcPr>
          <w:p w:rsidR="003717AB" w:rsidRPr="003717AB" w:rsidRDefault="00BE25C1" w:rsidP="004047BD">
            <w:pPr>
              <w:suppressAutoHyphens w:val="0"/>
              <w:jc w:val="both"/>
              <w:rPr>
                <w:bCs/>
                <w:color w:val="000000"/>
                <w:lang w:val="uk-UA" w:eastAsia="uk-UA"/>
              </w:rPr>
            </w:pPr>
            <w:r>
              <w:rPr>
                <w:bCs/>
                <w:color w:val="000000"/>
                <w:lang w:val="uk-UA" w:eastAsia="uk-UA"/>
              </w:rPr>
              <w:t>-</w:t>
            </w:r>
          </w:p>
        </w:tc>
        <w:tc>
          <w:tcPr>
            <w:tcW w:w="1620" w:type="dxa"/>
            <w:shd w:val="clear" w:color="auto" w:fill="auto"/>
            <w:vAlign w:val="bottom"/>
          </w:tcPr>
          <w:p w:rsidR="003717AB" w:rsidRPr="003717AB" w:rsidRDefault="009C251F" w:rsidP="004047BD">
            <w:pPr>
              <w:suppressAutoHyphens w:val="0"/>
              <w:jc w:val="both"/>
              <w:rPr>
                <w:bCs/>
                <w:color w:val="000000"/>
                <w:lang w:val="uk-UA" w:eastAsia="uk-UA"/>
              </w:rPr>
            </w:pPr>
            <w:r>
              <w:rPr>
                <w:bCs/>
                <w:color w:val="000000"/>
                <w:lang w:val="uk-UA" w:eastAsia="uk-UA"/>
              </w:rPr>
              <w:t>232</w:t>
            </w:r>
          </w:p>
        </w:tc>
        <w:tc>
          <w:tcPr>
            <w:tcW w:w="1589" w:type="dxa"/>
            <w:shd w:val="clear" w:color="auto" w:fill="auto"/>
            <w:vAlign w:val="bottom"/>
          </w:tcPr>
          <w:p w:rsidR="003717AB" w:rsidRPr="003717AB" w:rsidRDefault="009C251F" w:rsidP="004047BD">
            <w:pPr>
              <w:suppressAutoHyphens w:val="0"/>
              <w:jc w:val="both"/>
              <w:rPr>
                <w:color w:val="000000"/>
                <w:lang w:val="uk-UA" w:eastAsia="uk-UA"/>
              </w:rPr>
            </w:pPr>
            <w:r>
              <w:rPr>
                <w:color w:val="000000"/>
                <w:lang w:val="uk-UA" w:eastAsia="uk-UA"/>
              </w:rPr>
              <w:t>244</w:t>
            </w:r>
          </w:p>
        </w:tc>
      </w:tr>
      <w:tr w:rsidR="003717AB" w:rsidRPr="003717AB" w:rsidTr="003717AB">
        <w:tc>
          <w:tcPr>
            <w:tcW w:w="2613" w:type="dxa"/>
            <w:shd w:val="clear" w:color="auto" w:fill="auto"/>
          </w:tcPr>
          <w:p w:rsidR="003717AB" w:rsidRPr="003717AB" w:rsidRDefault="003717AB" w:rsidP="004047BD">
            <w:pPr>
              <w:suppressAutoHyphens w:val="0"/>
              <w:autoSpaceDE w:val="0"/>
              <w:autoSpaceDN w:val="0"/>
              <w:adjustRightInd w:val="0"/>
              <w:jc w:val="both"/>
              <w:rPr>
                <w:rFonts w:eastAsia="Calibri"/>
                <w:lang w:eastAsia="en-US"/>
              </w:rPr>
            </w:pPr>
            <w:r w:rsidRPr="003717AB">
              <w:rPr>
                <w:rFonts w:eastAsia="Calibri"/>
                <w:lang w:eastAsia="en-US"/>
              </w:rPr>
              <w:t xml:space="preserve">4.1. Прибуток </w:t>
            </w:r>
          </w:p>
        </w:tc>
        <w:tc>
          <w:tcPr>
            <w:tcW w:w="1440" w:type="dxa"/>
            <w:shd w:val="clear" w:color="auto" w:fill="auto"/>
            <w:vAlign w:val="bottom"/>
          </w:tcPr>
          <w:p w:rsidR="003717AB" w:rsidRPr="003717AB" w:rsidRDefault="003717AB" w:rsidP="004047BD">
            <w:pPr>
              <w:suppressAutoHyphens w:val="0"/>
              <w:jc w:val="both"/>
              <w:rPr>
                <w:b/>
                <w:bCs/>
                <w:i/>
                <w:color w:val="000000"/>
                <w:lang w:val="uk-UA" w:eastAsia="uk-UA"/>
              </w:rPr>
            </w:pPr>
          </w:p>
        </w:tc>
        <w:tc>
          <w:tcPr>
            <w:tcW w:w="1080" w:type="dxa"/>
          </w:tcPr>
          <w:p w:rsidR="003717AB" w:rsidRPr="003717AB" w:rsidRDefault="003717AB" w:rsidP="004047BD">
            <w:pPr>
              <w:suppressAutoHyphens w:val="0"/>
              <w:jc w:val="both"/>
              <w:rPr>
                <w:b/>
                <w:i/>
                <w:color w:val="000000"/>
                <w:lang w:val="uk-UA" w:eastAsia="uk-UA"/>
              </w:rPr>
            </w:pPr>
          </w:p>
        </w:tc>
        <w:tc>
          <w:tcPr>
            <w:tcW w:w="1440" w:type="dxa"/>
            <w:shd w:val="clear" w:color="auto" w:fill="auto"/>
            <w:vAlign w:val="bottom"/>
          </w:tcPr>
          <w:p w:rsidR="003717AB" w:rsidRPr="003717AB" w:rsidRDefault="003717AB" w:rsidP="004047BD">
            <w:pPr>
              <w:suppressAutoHyphens w:val="0"/>
              <w:jc w:val="both"/>
              <w:rPr>
                <w:b/>
                <w:bCs/>
                <w:i/>
                <w:color w:val="000000"/>
                <w:lang w:val="uk-UA" w:eastAsia="uk-UA"/>
              </w:rPr>
            </w:pPr>
          </w:p>
        </w:tc>
        <w:tc>
          <w:tcPr>
            <w:tcW w:w="1620" w:type="dxa"/>
            <w:shd w:val="clear" w:color="auto" w:fill="auto"/>
            <w:vAlign w:val="bottom"/>
          </w:tcPr>
          <w:p w:rsidR="003717AB" w:rsidRPr="003717AB" w:rsidRDefault="003717AB" w:rsidP="004047BD">
            <w:pPr>
              <w:suppressAutoHyphens w:val="0"/>
              <w:jc w:val="both"/>
              <w:rPr>
                <w:b/>
                <w:bCs/>
                <w:i/>
                <w:color w:val="000000"/>
                <w:lang w:val="uk-UA" w:eastAsia="uk-UA"/>
              </w:rPr>
            </w:pPr>
          </w:p>
        </w:tc>
        <w:tc>
          <w:tcPr>
            <w:tcW w:w="1589" w:type="dxa"/>
            <w:shd w:val="clear" w:color="auto" w:fill="auto"/>
            <w:vAlign w:val="bottom"/>
          </w:tcPr>
          <w:p w:rsidR="003717AB" w:rsidRPr="003717AB" w:rsidRDefault="003717AB" w:rsidP="004047BD">
            <w:pPr>
              <w:suppressAutoHyphens w:val="0"/>
              <w:jc w:val="both"/>
              <w:rPr>
                <w:b/>
                <w:i/>
                <w:color w:val="000000"/>
                <w:lang w:val="uk-UA" w:eastAsia="uk-UA"/>
              </w:rPr>
            </w:pPr>
          </w:p>
        </w:tc>
      </w:tr>
      <w:tr w:rsidR="003717AB" w:rsidRPr="003717AB" w:rsidTr="003717AB">
        <w:tc>
          <w:tcPr>
            <w:tcW w:w="2613" w:type="dxa"/>
            <w:shd w:val="clear" w:color="auto" w:fill="auto"/>
          </w:tcPr>
          <w:p w:rsidR="003717AB" w:rsidRPr="003717AB" w:rsidRDefault="003717AB" w:rsidP="004047BD">
            <w:pPr>
              <w:suppressAutoHyphens w:val="0"/>
              <w:autoSpaceDE w:val="0"/>
              <w:autoSpaceDN w:val="0"/>
              <w:adjustRightInd w:val="0"/>
              <w:jc w:val="both"/>
              <w:rPr>
                <w:rFonts w:eastAsia="Calibri"/>
                <w:lang w:eastAsia="en-US"/>
              </w:rPr>
            </w:pPr>
            <w:r w:rsidRPr="003717AB">
              <w:rPr>
                <w:rFonts w:eastAsia="Calibri"/>
                <w:lang w:eastAsia="en-US"/>
              </w:rPr>
              <w:t>4.2 Дооцінка (уцінка) основних засобів</w:t>
            </w:r>
          </w:p>
        </w:tc>
        <w:tc>
          <w:tcPr>
            <w:tcW w:w="1440" w:type="dxa"/>
            <w:shd w:val="clear" w:color="auto" w:fill="auto"/>
          </w:tcPr>
          <w:p w:rsidR="003717AB" w:rsidRPr="00BE25C1" w:rsidRDefault="00BE25C1" w:rsidP="004047BD">
            <w:pPr>
              <w:suppressAutoHyphens w:val="0"/>
              <w:autoSpaceDE w:val="0"/>
              <w:autoSpaceDN w:val="0"/>
              <w:adjustRightInd w:val="0"/>
              <w:jc w:val="both"/>
              <w:rPr>
                <w:rFonts w:eastAsia="Calibri"/>
                <w:b/>
                <w:i/>
                <w:lang w:val="uk-UA" w:eastAsia="en-US"/>
              </w:rPr>
            </w:pPr>
            <w:r>
              <w:rPr>
                <w:rFonts w:eastAsia="Calibri"/>
                <w:b/>
                <w:i/>
                <w:lang w:val="uk-UA" w:eastAsia="en-US"/>
              </w:rPr>
              <w:t>-</w:t>
            </w:r>
          </w:p>
        </w:tc>
        <w:tc>
          <w:tcPr>
            <w:tcW w:w="1080" w:type="dxa"/>
          </w:tcPr>
          <w:p w:rsidR="003717AB" w:rsidRPr="00BE25C1" w:rsidRDefault="00BE25C1" w:rsidP="004047BD">
            <w:pPr>
              <w:suppressAutoHyphens w:val="0"/>
              <w:autoSpaceDE w:val="0"/>
              <w:autoSpaceDN w:val="0"/>
              <w:adjustRightInd w:val="0"/>
              <w:jc w:val="both"/>
              <w:rPr>
                <w:rFonts w:eastAsia="Calibri"/>
                <w:b/>
                <w:i/>
                <w:lang w:val="uk-UA" w:eastAsia="en-US"/>
              </w:rPr>
            </w:pPr>
            <w:r>
              <w:rPr>
                <w:rFonts w:eastAsia="Calibri"/>
                <w:b/>
                <w:i/>
                <w:lang w:val="uk-UA" w:eastAsia="en-US"/>
              </w:rPr>
              <w:t>-</w:t>
            </w:r>
          </w:p>
        </w:tc>
        <w:tc>
          <w:tcPr>
            <w:tcW w:w="1440" w:type="dxa"/>
            <w:shd w:val="clear" w:color="auto" w:fill="auto"/>
          </w:tcPr>
          <w:p w:rsidR="003717AB" w:rsidRPr="00BE25C1" w:rsidRDefault="00BE25C1" w:rsidP="004047BD">
            <w:pPr>
              <w:suppressAutoHyphens w:val="0"/>
              <w:autoSpaceDE w:val="0"/>
              <w:autoSpaceDN w:val="0"/>
              <w:adjustRightInd w:val="0"/>
              <w:jc w:val="both"/>
              <w:rPr>
                <w:rFonts w:eastAsia="Calibri"/>
                <w:b/>
                <w:i/>
                <w:lang w:val="uk-UA" w:eastAsia="en-US"/>
              </w:rPr>
            </w:pPr>
            <w:r>
              <w:rPr>
                <w:rFonts w:eastAsia="Calibri"/>
                <w:b/>
                <w:i/>
                <w:lang w:val="uk-UA" w:eastAsia="en-US"/>
              </w:rPr>
              <w:t>-</w:t>
            </w:r>
          </w:p>
        </w:tc>
        <w:tc>
          <w:tcPr>
            <w:tcW w:w="1620" w:type="dxa"/>
            <w:shd w:val="clear" w:color="auto" w:fill="auto"/>
          </w:tcPr>
          <w:p w:rsidR="003717AB" w:rsidRPr="00BE25C1" w:rsidRDefault="00BE25C1" w:rsidP="004047BD">
            <w:pPr>
              <w:suppressAutoHyphens w:val="0"/>
              <w:autoSpaceDE w:val="0"/>
              <w:autoSpaceDN w:val="0"/>
              <w:adjustRightInd w:val="0"/>
              <w:jc w:val="both"/>
              <w:rPr>
                <w:rFonts w:eastAsia="Calibri"/>
                <w:b/>
                <w:i/>
                <w:lang w:val="uk-UA" w:eastAsia="en-US"/>
              </w:rPr>
            </w:pPr>
            <w:r>
              <w:rPr>
                <w:rFonts w:eastAsia="Calibri"/>
                <w:b/>
                <w:i/>
                <w:lang w:val="uk-UA" w:eastAsia="en-US"/>
              </w:rPr>
              <w:t>-</w:t>
            </w:r>
          </w:p>
        </w:tc>
        <w:tc>
          <w:tcPr>
            <w:tcW w:w="1589" w:type="dxa"/>
            <w:shd w:val="clear" w:color="auto" w:fill="auto"/>
          </w:tcPr>
          <w:p w:rsidR="003717AB" w:rsidRPr="00BE25C1" w:rsidRDefault="00BE25C1" w:rsidP="004047BD">
            <w:pPr>
              <w:suppressAutoHyphens w:val="0"/>
              <w:autoSpaceDE w:val="0"/>
              <w:autoSpaceDN w:val="0"/>
              <w:adjustRightInd w:val="0"/>
              <w:jc w:val="both"/>
              <w:rPr>
                <w:rFonts w:eastAsia="Calibri"/>
                <w:b/>
                <w:i/>
                <w:lang w:val="uk-UA" w:eastAsia="en-US"/>
              </w:rPr>
            </w:pPr>
            <w:r>
              <w:rPr>
                <w:rFonts w:eastAsia="Calibri"/>
                <w:b/>
                <w:i/>
                <w:lang w:val="uk-UA" w:eastAsia="en-US"/>
              </w:rPr>
              <w:t>-</w:t>
            </w:r>
          </w:p>
        </w:tc>
      </w:tr>
      <w:tr w:rsidR="003717AB" w:rsidRPr="003717AB" w:rsidTr="003717AB">
        <w:tc>
          <w:tcPr>
            <w:tcW w:w="2613" w:type="dxa"/>
            <w:shd w:val="clear" w:color="auto" w:fill="auto"/>
          </w:tcPr>
          <w:p w:rsidR="003717AB" w:rsidRPr="003717AB" w:rsidRDefault="003717AB" w:rsidP="004047BD">
            <w:pPr>
              <w:suppressAutoHyphens w:val="0"/>
              <w:autoSpaceDE w:val="0"/>
              <w:autoSpaceDN w:val="0"/>
              <w:adjustRightInd w:val="0"/>
              <w:jc w:val="both"/>
              <w:rPr>
                <w:rFonts w:eastAsia="Calibri"/>
                <w:lang w:eastAsia="en-US"/>
              </w:rPr>
            </w:pPr>
            <w:r w:rsidRPr="003717AB">
              <w:rPr>
                <w:rFonts w:eastAsia="Calibri"/>
                <w:lang w:eastAsia="en-US"/>
              </w:rPr>
              <w:t>4.3 Інші зміни в капіталі</w:t>
            </w:r>
          </w:p>
        </w:tc>
        <w:tc>
          <w:tcPr>
            <w:tcW w:w="1440" w:type="dxa"/>
            <w:shd w:val="clear" w:color="auto" w:fill="auto"/>
          </w:tcPr>
          <w:p w:rsidR="003717AB" w:rsidRPr="00BE25C1" w:rsidRDefault="00BE25C1" w:rsidP="004047BD">
            <w:pPr>
              <w:suppressAutoHyphens w:val="0"/>
              <w:autoSpaceDE w:val="0"/>
              <w:autoSpaceDN w:val="0"/>
              <w:adjustRightInd w:val="0"/>
              <w:jc w:val="both"/>
              <w:rPr>
                <w:rFonts w:eastAsia="Calibri"/>
                <w:b/>
                <w:i/>
                <w:lang w:val="uk-UA" w:eastAsia="en-US"/>
              </w:rPr>
            </w:pPr>
            <w:r>
              <w:rPr>
                <w:rFonts w:eastAsia="Calibri"/>
                <w:b/>
                <w:i/>
                <w:lang w:val="uk-UA" w:eastAsia="en-US"/>
              </w:rPr>
              <w:t>-</w:t>
            </w:r>
          </w:p>
        </w:tc>
        <w:tc>
          <w:tcPr>
            <w:tcW w:w="1080" w:type="dxa"/>
          </w:tcPr>
          <w:p w:rsidR="003717AB" w:rsidRPr="00BE25C1" w:rsidRDefault="00BE25C1" w:rsidP="004047BD">
            <w:pPr>
              <w:suppressAutoHyphens w:val="0"/>
              <w:autoSpaceDE w:val="0"/>
              <w:autoSpaceDN w:val="0"/>
              <w:adjustRightInd w:val="0"/>
              <w:jc w:val="both"/>
              <w:rPr>
                <w:rFonts w:eastAsia="Calibri"/>
                <w:b/>
                <w:i/>
                <w:lang w:val="uk-UA" w:eastAsia="en-US"/>
              </w:rPr>
            </w:pPr>
            <w:r>
              <w:rPr>
                <w:rFonts w:eastAsia="Calibri"/>
                <w:b/>
                <w:i/>
                <w:lang w:val="uk-UA" w:eastAsia="en-US"/>
              </w:rPr>
              <w:t>-</w:t>
            </w:r>
          </w:p>
        </w:tc>
        <w:tc>
          <w:tcPr>
            <w:tcW w:w="1440" w:type="dxa"/>
            <w:shd w:val="clear" w:color="auto" w:fill="auto"/>
          </w:tcPr>
          <w:p w:rsidR="003717AB" w:rsidRPr="00BE25C1" w:rsidRDefault="00BE25C1" w:rsidP="004047BD">
            <w:pPr>
              <w:suppressAutoHyphens w:val="0"/>
              <w:autoSpaceDE w:val="0"/>
              <w:autoSpaceDN w:val="0"/>
              <w:adjustRightInd w:val="0"/>
              <w:jc w:val="both"/>
              <w:rPr>
                <w:rFonts w:eastAsia="Calibri"/>
                <w:b/>
                <w:i/>
                <w:lang w:val="uk-UA" w:eastAsia="en-US"/>
              </w:rPr>
            </w:pPr>
            <w:r>
              <w:rPr>
                <w:rFonts w:eastAsia="Calibri"/>
                <w:b/>
                <w:i/>
                <w:lang w:val="uk-UA" w:eastAsia="en-US"/>
              </w:rPr>
              <w:t>-</w:t>
            </w:r>
          </w:p>
        </w:tc>
        <w:tc>
          <w:tcPr>
            <w:tcW w:w="1620" w:type="dxa"/>
            <w:shd w:val="clear" w:color="auto" w:fill="auto"/>
          </w:tcPr>
          <w:p w:rsidR="003717AB" w:rsidRPr="00BE25C1" w:rsidRDefault="00BE25C1" w:rsidP="004047BD">
            <w:pPr>
              <w:suppressAutoHyphens w:val="0"/>
              <w:autoSpaceDE w:val="0"/>
              <w:autoSpaceDN w:val="0"/>
              <w:adjustRightInd w:val="0"/>
              <w:jc w:val="both"/>
              <w:rPr>
                <w:rFonts w:eastAsia="Calibri"/>
                <w:b/>
                <w:i/>
                <w:lang w:val="uk-UA" w:eastAsia="en-US"/>
              </w:rPr>
            </w:pPr>
            <w:r>
              <w:rPr>
                <w:rFonts w:eastAsia="Calibri"/>
                <w:b/>
                <w:i/>
                <w:lang w:val="uk-UA" w:eastAsia="en-US"/>
              </w:rPr>
              <w:t>-</w:t>
            </w:r>
          </w:p>
        </w:tc>
        <w:tc>
          <w:tcPr>
            <w:tcW w:w="1589" w:type="dxa"/>
            <w:shd w:val="clear" w:color="auto" w:fill="auto"/>
          </w:tcPr>
          <w:p w:rsidR="003717AB" w:rsidRPr="00BE25C1" w:rsidRDefault="00BE25C1" w:rsidP="004047BD">
            <w:pPr>
              <w:suppressAutoHyphens w:val="0"/>
              <w:autoSpaceDE w:val="0"/>
              <w:autoSpaceDN w:val="0"/>
              <w:adjustRightInd w:val="0"/>
              <w:jc w:val="both"/>
              <w:rPr>
                <w:rFonts w:eastAsia="Calibri"/>
                <w:b/>
                <w:i/>
                <w:lang w:val="uk-UA" w:eastAsia="en-US"/>
              </w:rPr>
            </w:pPr>
            <w:r>
              <w:rPr>
                <w:rFonts w:eastAsia="Calibri"/>
                <w:b/>
                <w:i/>
                <w:lang w:val="uk-UA" w:eastAsia="en-US"/>
              </w:rPr>
              <w:t>-</w:t>
            </w:r>
          </w:p>
        </w:tc>
      </w:tr>
      <w:tr w:rsidR="003717AB" w:rsidRPr="003717AB" w:rsidTr="003717AB">
        <w:tc>
          <w:tcPr>
            <w:tcW w:w="2613" w:type="dxa"/>
            <w:shd w:val="clear" w:color="auto" w:fill="auto"/>
          </w:tcPr>
          <w:p w:rsidR="003717AB" w:rsidRPr="003717AB" w:rsidRDefault="003717AB" w:rsidP="004047BD">
            <w:pPr>
              <w:suppressAutoHyphens w:val="0"/>
              <w:autoSpaceDE w:val="0"/>
              <w:autoSpaceDN w:val="0"/>
              <w:adjustRightInd w:val="0"/>
              <w:jc w:val="both"/>
              <w:rPr>
                <w:rFonts w:eastAsia="Calibri"/>
                <w:lang w:eastAsia="en-US"/>
              </w:rPr>
            </w:pPr>
            <w:r w:rsidRPr="003717AB">
              <w:rPr>
                <w:rFonts w:eastAsia="Calibri"/>
                <w:lang w:eastAsia="en-US"/>
              </w:rPr>
              <w:t>4.4 Нарахування ВПЗ</w:t>
            </w:r>
          </w:p>
        </w:tc>
        <w:tc>
          <w:tcPr>
            <w:tcW w:w="1440" w:type="dxa"/>
            <w:shd w:val="clear" w:color="auto" w:fill="auto"/>
          </w:tcPr>
          <w:p w:rsidR="003717AB" w:rsidRPr="003717AB" w:rsidRDefault="003717AB" w:rsidP="004047BD">
            <w:pPr>
              <w:suppressAutoHyphens w:val="0"/>
              <w:autoSpaceDE w:val="0"/>
              <w:autoSpaceDN w:val="0"/>
              <w:adjustRightInd w:val="0"/>
              <w:jc w:val="both"/>
              <w:rPr>
                <w:rFonts w:eastAsia="Calibri"/>
                <w:b/>
                <w:i/>
                <w:lang w:eastAsia="en-US"/>
              </w:rPr>
            </w:pPr>
          </w:p>
        </w:tc>
        <w:tc>
          <w:tcPr>
            <w:tcW w:w="1080" w:type="dxa"/>
          </w:tcPr>
          <w:p w:rsidR="003717AB" w:rsidRPr="003717AB" w:rsidRDefault="003717AB" w:rsidP="004047BD">
            <w:pPr>
              <w:suppressAutoHyphens w:val="0"/>
              <w:autoSpaceDE w:val="0"/>
              <w:autoSpaceDN w:val="0"/>
              <w:adjustRightInd w:val="0"/>
              <w:jc w:val="both"/>
              <w:rPr>
                <w:rFonts w:eastAsia="Calibri"/>
                <w:b/>
                <w:i/>
                <w:lang w:eastAsia="en-US"/>
              </w:rPr>
            </w:pPr>
          </w:p>
        </w:tc>
        <w:tc>
          <w:tcPr>
            <w:tcW w:w="1440" w:type="dxa"/>
            <w:shd w:val="clear" w:color="auto" w:fill="auto"/>
          </w:tcPr>
          <w:p w:rsidR="003717AB" w:rsidRPr="003717AB" w:rsidRDefault="003717AB" w:rsidP="004047BD">
            <w:pPr>
              <w:suppressAutoHyphens w:val="0"/>
              <w:autoSpaceDE w:val="0"/>
              <w:autoSpaceDN w:val="0"/>
              <w:adjustRightInd w:val="0"/>
              <w:jc w:val="both"/>
              <w:rPr>
                <w:rFonts w:eastAsia="Calibri"/>
                <w:b/>
                <w:i/>
                <w:lang w:eastAsia="en-US"/>
              </w:rPr>
            </w:pPr>
          </w:p>
        </w:tc>
        <w:tc>
          <w:tcPr>
            <w:tcW w:w="1620" w:type="dxa"/>
            <w:shd w:val="clear" w:color="auto" w:fill="auto"/>
          </w:tcPr>
          <w:p w:rsidR="003717AB" w:rsidRPr="003717AB" w:rsidRDefault="003717AB" w:rsidP="004047BD">
            <w:pPr>
              <w:suppressAutoHyphens w:val="0"/>
              <w:autoSpaceDE w:val="0"/>
              <w:autoSpaceDN w:val="0"/>
              <w:adjustRightInd w:val="0"/>
              <w:jc w:val="both"/>
              <w:rPr>
                <w:rFonts w:eastAsia="Calibri"/>
                <w:b/>
                <w:i/>
                <w:lang w:eastAsia="en-US"/>
              </w:rPr>
            </w:pPr>
          </w:p>
        </w:tc>
        <w:tc>
          <w:tcPr>
            <w:tcW w:w="1589" w:type="dxa"/>
            <w:shd w:val="clear" w:color="auto" w:fill="auto"/>
          </w:tcPr>
          <w:p w:rsidR="003717AB" w:rsidRPr="003717AB" w:rsidRDefault="003717AB" w:rsidP="004047BD">
            <w:pPr>
              <w:suppressAutoHyphens w:val="0"/>
              <w:autoSpaceDE w:val="0"/>
              <w:autoSpaceDN w:val="0"/>
              <w:adjustRightInd w:val="0"/>
              <w:jc w:val="both"/>
              <w:rPr>
                <w:rFonts w:eastAsia="Calibri"/>
                <w:b/>
                <w:i/>
                <w:lang w:eastAsia="en-US"/>
              </w:rPr>
            </w:pPr>
          </w:p>
        </w:tc>
      </w:tr>
      <w:tr w:rsidR="00BE25C1" w:rsidRPr="003717AB" w:rsidTr="003717AB">
        <w:tc>
          <w:tcPr>
            <w:tcW w:w="2613" w:type="dxa"/>
            <w:shd w:val="clear" w:color="auto" w:fill="auto"/>
          </w:tcPr>
          <w:p w:rsidR="00BE25C1" w:rsidRPr="003717AB" w:rsidRDefault="00BE25C1" w:rsidP="00BE25C1">
            <w:pPr>
              <w:suppressAutoHyphens w:val="0"/>
              <w:autoSpaceDE w:val="0"/>
              <w:autoSpaceDN w:val="0"/>
              <w:adjustRightInd w:val="0"/>
              <w:jc w:val="both"/>
              <w:rPr>
                <w:rFonts w:eastAsia="Calibri"/>
                <w:lang w:eastAsia="en-US"/>
              </w:rPr>
            </w:pPr>
            <w:r w:rsidRPr="003717AB">
              <w:rPr>
                <w:rFonts w:eastAsia="Calibri"/>
                <w:lang w:eastAsia="en-US"/>
              </w:rPr>
              <w:t xml:space="preserve">5. </w:t>
            </w:r>
            <w:r>
              <w:rPr>
                <w:rFonts w:eastAsia="Calibri"/>
                <w:lang w:val="uk-UA" w:eastAsia="en-US"/>
              </w:rPr>
              <w:t xml:space="preserve">разом змін у капіталі </w:t>
            </w:r>
            <w:r w:rsidR="00132E1E">
              <w:rPr>
                <w:rFonts w:eastAsia="Calibri"/>
                <w:lang w:eastAsia="en-US"/>
              </w:rPr>
              <w:t xml:space="preserve"> за 201</w:t>
            </w:r>
            <w:r w:rsidR="00132E1E">
              <w:rPr>
                <w:rFonts w:eastAsia="Calibri"/>
                <w:lang w:val="uk-UA" w:eastAsia="en-US"/>
              </w:rPr>
              <w:t>7</w:t>
            </w:r>
            <w:r w:rsidRPr="003717AB">
              <w:rPr>
                <w:rFonts w:eastAsia="Calibri"/>
                <w:lang w:eastAsia="en-US"/>
              </w:rPr>
              <w:t xml:space="preserve"> рік</w:t>
            </w:r>
          </w:p>
        </w:tc>
        <w:tc>
          <w:tcPr>
            <w:tcW w:w="1440" w:type="dxa"/>
            <w:shd w:val="clear" w:color="auto" w:fill="auto"/>
          </w:tcPr>
          <w:p w:rsidR="00BE25C1" w:rsidRPr="003D21DD" w:rsidRDefault="00BE25C1" w:rsidP="006A3E59">
            <w:r w:rsidRPr="003D21DD">
              <w:t>-</w:t>
            </w:r>
          </w:p>
        </w:tc>
        <w:tc>
          <w:tcPr>
            <w:tcW w:w="1080" w:type="dxa"/>
          </w:tcPr>
          <w:p w:rsidR="00BE25C1" w:rsidRPr="003D21DD" w:rsidRDefault="00BE25C1" w:rsidP="006A3E59">
            <w:r w:rsidRPr="003D21DD">
              <w:t>12</w:t>
            </w:r>
          </w:p>
        </w:tc>
        <w:tc>
          <w:tcPr>
            <w:tcW w:w="1440" w:type="dxa"/>
            <w:shd w:val="clear" w:color="auto" w:fill="auto"/>
          </w:tcPr>
          <w:p w:rsidR="00BE25C1" w:rsidRPr="003D21DD" w:rsidRDefault="00BE25C1" w:rsidP="006A3E59">
            <w:r w:rsidRPr="003D21DD">
              <w:t>-</w:t>
            </w:r>
          </w:p>
        </w:tc>
        <w:tc>
          <w:tcPr>
            <w:tcW w:w="1620" w:type="dxa"/>
            <w:shd w:val="clear" w:color="auto" w:fill="auto"/>
          </w:tcPr>
          <w:p w:rsidR="00BE25C1" w:rsidRPr="003D21DD" w:rsidRDefault="009C251F" w:rsidP="006A3E59">
            <w:r>
              <w:t>232</w:t>
            </w:r>
          </w:p>
        </w:tc>
        <w:tc>
          <w:tcPr>
            <w:tcW w:w="1589" w:type="dxa"/>
            <w:shd w:val="clear" w:color="auto" w:fill="auto"/>
          </w:tcPr>
          <w:p w:rsidR="00BE25C1" w:rsidRDefault="009C251F" w:rsidP="006A3E59">
            <w:r>
              <w:t>244</w:t>
            </w:r>
          </w:p>
        </w:tc>
      </w:tr>
      <w:tr w:rsidR="003717AB" w:rsidRPr="003717AB" w:rsidTr="003717AB">
        <w:tc>
          <w:tcPr>
            <w:tcW w:w="2613" w:type="dxa"/>
            <w:shd w:val="clear" w:color="auto" w:fill="auto"/>
          </w:tcPr>
          <w:p w:rsidR="003717AB" w:rsidRPr="003717AB" w:rsidRDefault="00132E1E" w:rsidP="004047BD">
            <w:pPr>
              <w:suppressAutoHyphens w:val="0"/>
              <w:autoSpaceDE w:val="0"/>
              <w:autoSpaceDN w:val="0"/>
              <w:adjustRightInd w:val="0"/>
              <w:jc w:val="both"/>
              <w:rPr>
                <w:rFonts w:eastAsia="Calibri"/>
                <w:lang w:eastAsia="en-US"/>
              </w:rPr>
            </w:pPr>
            <w:r>
              <w:rPr>
                <w:rFonts w:eastAsia="Calibri"/>
                <w:lang w:eastAsia="en-US"/>
              </w:rPr>
              <w:t>7. Залишок на 31.12.1</w:t>
            </w:r>
            <w:r>
              <w:rPr>
                <w:rFonts w:eastAsia="Calibri"/>
                <w:lang w:val="uk-UA" w:eastAsia="en-US"/>
              </w:rPr>
              <w:t>7</w:t>
            </w:r>
            <w:r w:rsidR="003717AB" w:rsidRPr="003717AB">
              <w:rPr>
                <w:rFonts w:eastAsia="Calibri"/>
                <w:lang w:eastAsia="en-US"/>
              </w:rPr>
              <w:t xml:space="preserve"> </w:t>
            </w:r>
          </w:p>
        </w:tc>
        <w:tc>
          <w:tcPr>
            <w:tcW w:w="1440" w:type="dxa"/>
            <w:shd w:val="clear" w:color="auto" w:fill="auto"/>
          </w:tcPr>
          <w:p w:rsidR="003717AB" w:rsidRPr="00BE25C1" w:rsidRDefault="00BE25C1" w:rsidP="004047BD">
            <w:pPr>
              <w:suppressAutoHyphens w:val="0"/>
              <w:autoSpaceDE w:val="0"/>
              <w:autoSpaceDN w:val="0"/>
              <w:adjustRightInd w:val="0"/>
              <w:jc w:val="both"/>
              <w:rPr>
                <w:rFonts w:eastAsia="Calibri"/>
                <w:b/>
                <w:i/>
                <w:lang w:val="uk-UA" w:eastAsia="en-US"/>
              </w:rPr>
            </w:pPr>
            <w:r>
              <w:rPr>
                <w:rFonts w:eastAsia="Calibri"/>
                <w:b/>
                <w:i/>
                <w:lang w:val="uk-UA" w:eastAsia="en-US"/>
              </w:rPr>
              <w:t>200</w:t>
            </w:r>
          </w:p>
        </w:tc>
        <w:tc>
          <w:tcPr>
            <w:tcW w:w="1080" w:type="dxa"/>
          </w:tcPr>
          <w:p w:rsidR="003717AB" w:rsidRPr="00BE25C1" w:rsidRDefault="009C251F" w:rsidP="004047BD">
            <w:pPr>
              <w:suppressAutoHyphens w:val="0"/>
              <w:autoSpaceDE w:val="0"/>
              <w:autoSpaceDN w:val="0"/>
              <w:adjustRightInd w:val="0"/>
              <w:jc w:val="both"/>
              <w:rPr>
                <w:rFonts w:eastAsia="Calibri"/>
                <w:b/>
                <w:i/>
                <w:lang w:val="uk-UA" w:eastAsia="en-US"/>
              </w:rPr>
            </w:pPr>
            <w:r>
              <w:rPr>
                <w:rFonts w:eastAsia="Calibri"/>
                <w:b/>
                <w:i/>
                <w:lang w:val="uk-UA" w:eastAsia="en-US"/>
              </w:rPr>
              <w:t>83</w:t>
            </w:r>
          </w:p>
        </w:tc>
        <w:tc>
          <w:tcPr>
            <w:tcW w:w="1440" w:type="dxa"/>
            <w:shd w:val="clear" w:color="auto" w:fill="auto"/>
          </w:tcPr>
          <w:p w:rsidR="003717AB" w:rsidRPr="00BE25C1" w:rsidRDefault="00BE25C1" w:rsidP="004047BD">
            <w:pPr>
              <w:suppressAutoHyphens w:val="0"/>
              <w:autoSpaceDE w:val="0"/>
              <w:autoSpaceDN w:val="0"/>
              <w:adjustRightInd w:val="0"/>
              <w:jc w:val="both"/>
              <w:rPr>
                <w:rFonts w:eastAsia="Calibri"/>
                <w:b/>
                <w:i/>
                <w:lang w:val="uk-UA" w:eastAsia="en-US"/>
              </w:rPr>
            </w:pPr>
            <w:r>
              <w:rPr>
                <w:rFonts w:eastAsia="Calibri"/>
                <w:b/>
                <w:i/>
                <w:lang w:val="uk-UA" w:eastAsia="en-US"/>
              </w:rPr>
              <w:t>-</w:t>
            </w:r>
          </w:p>
        </w:tc>
        <w:tc>
          <w:tcPr>
            <w:tcW w:w="1620" w:type="dxa"/>
            <w:shd w:val="clear" w:color="auto" w:fill="auto"/>
          </w:tcPr>
          <w:p w:rsidR="003717AB" w:rsidRPr="003717AB" w:rsidRDefault="009C251F" w:rsidP="004047BD">
            <w:pPr>
              <w:suppressAutoHyphens w:val="0"/>
              <w:autoSpaceDE w:val="0"/>
              <w:autoSpaceDN w:val="0"/>
              <w:adjustRightInd w:val="0"/>
              <w:jc w:val="both"/>
              <w:rPr>
                <w:rFonts w:eastAsia="Calibri"/>
                <w:b/>
                <w:i/>
                <w:lang w:val="uk-UA" w:eastAsia="en-US"/>
              </w:rPr>
            </w:pPr>
            <w:r>
              <w:rPr>
                <w:rFonts w:eastAsia="Calibri"/>
                <w:b/>
                <w:i/>
                <w:lang w:val="uk-UA" w:eastAsia="en-US"/>
              </w:rPr>
              <w:t>1048</w:t>
            </w:r>
          </w:p>
        </w:tc>
        <w:tc>
          <w:tcPr>
            <w:tcW w:w="1589" w:type="dxa"/>
            <w:shd w:val="clear" w:color="auto" w:fill="auto"/>
          </w:tcPr>
          <w:p w:rsidR="003717AB" w:rsidRPr="003717AB" w:rsidRDefault="009C251F" w:rsidP="004047BD">
            <w:pPr>
              <w:suppressAutoHyphens w:val="0"/>
              <w:autoSpaceDE w:val="0"/>
              <w:autoSpaceDN w:val="0"/>
              <w:adjustRightInd w:val="0"/>
              <w:jc w:val="both"/>
              <w:rPr>
                <w:rFonts w:eastAsia="Calibri"/>
                <w:b/>
                <w:i/>
                <w:lang w:val="uk-UA" w:eastAsia="en-US"/>
              </w:rPr>
            </w:pPr>
            <w:r>
              <w:rPr>
                <w:rFonts w:eastAsia="Calibri"/>
                <w:b/>
                <w:i/>
                <w:lang w:val="uk-UA" w:eastAsia="en-US"/>
              </w:rPr>
              <w:t>1331</w:t>
            </w:r>
          </w:p>
        </w:tc>
      </w:tr>
    </w:tbl>
    <w:p w:rsidR="003717AB" w:rsidRPr="003717AB" w:rsidRDefault="003717AB" w:rsidP="004047BD">
      <w:pPr>
        <w:suppressAutoHyphens w:val="0"/>
        <w:spacing w:after="200" w:line="276" w:lineRule="auto"/>
        <w:jc w:val="both"/>
        <w:rPr>
          <w:rFonts w:eastAsia="Calibri"/>
          <w:sz w:val="22"/>
          <w:szCs w:val="22"/>
          <w:lang w:val="uk-UA" w:eastAsia="en-US"/>
        </w:rPr>
      </w:pPr>
    </w:p>
    <w:p w:rsidR="003717AB" w:rsidRPr="003717AB" w:rsidRDefault="003717AB" w:rsidP="004047BD">
      <w:pPr>
        <w:suppressAutoHyphens w:val="0"/>
        <w:spacing w:after="200" w:line="276" w:lineRule="auto"/>
        <w:jc w:val="both"/>
        <w:rPr>
          <w:rFonts w:eastAsia="Calibri"/>
          <w:sz w:val="22"/>
          <w:szCs w:val="22"/>
          <w:lang w:val="uk-UA" w:eastAsia="en-US"/>
        </w:rPr>
      </w:pPr>
      <w:r w:rsidRPr="003717AB">
        <w:rPr>
          <w:rFonts w:eastAsia="Calibri"/>
          <w:sz w:val="22"/>
          <w:szCs w:val="22"/>
          <w:lang w:val="uk-UA" w:eastAsia="en-US"/>
        </w:rPr>
        <w:t>Зміни в капіталі пояснюються наступним:</w:t>
      </w:r>
    </w:p>
    <w:p w:rsidR="003717AB" w:rsidRPr="00EB5287" w:rsidRDefault="003717AB" w:rsidP="004047BD">
      <w:pPr>
        <w:numPr>
          <w:ilvl w:val="0"/>
          <w:numId w:val="18"/>
        </w:numPr>
        <w:suppressAutoHyphens w:val="0"/>
        <w:spacing w:after="200" w:line="276" w:lineRule="auto"/>
        <w:jc w:val="both"/>
        <w:rPr>
          <w:rFonts w:eastAsia="Calibri"/>
          <w:sz w:val="22"/>
          <w:szCs w:val="22"/>
          <w:lang w:val="uk-UA" w:eastAsia="en-US"/>
        </w:rPr>
      </w:pPr>
      <w:r w:rsidRPr="00EB5287">
        <w:rPr>
          <w:rFonts w:eastAsia="Calibri"/>
          <w:sz w:val="22"/>
          <w:szCs w:val="22"/>
          <w:lang w:val="uk-UA" w:eastAsia="en-US"/>
        </w:rPr>
        <w:t>Отримано прибуто</w:t>
      </w:r>
      <w:r w:rsidR="00BE25C1" w:rsidRPr="00EB5287">
        <w:rPr>
          <w:rFonts w:eastAsia="Calibri"/>
          <w:sz w:val="22"/>
          <w:szCs w:val="22"/>
          <w:lang w:val="uk-UA" w:eastAsia="en-US"/>
        </w:rPr>
        <w:t xml:space="preserve">к у звітному періоді в сумі  </w:t>
      </w:r>
      <w:r w:rsidR="00EB5287" w:rsidRPr="00EB5287">
        <w:rPr>
          <w:rFonts w:eastAsia="Calibri"/>
          <w:sz w:val="22"/>
          <w:szCs w:val="22"/>
          <w:lang w:val="uk-UA" w:eastAsia="en-US"/>
        </w:rPr>
        <w:t>244</w:t>
      </w:r>
      <w:r w:rsidRPr="00EB5287">
        <w:rPr>
          <w:rFonts w:eastAsia="Calibri"/>
          <w:sz w:val="22"/>
          <w:szCs w:val="22"/>
          <w:lang w:val="uk-UA" w:eastAsia="en-US"/>
        </w:rPr>
        <w:t xml:space="preserve"> тис. грн. </w:t>
      </w:r>
    </w:p>
    <w:p w:rsidR="00BE25C1" w:rsidRPr="00EB5287" w:rsidRDefault="00BE25C1" w:rsidP="004047BD">
      <w:pPr>
        <w:numPr>
          <w:ilvl w:val="0"/>
          <w:numId w:val="18"/>
        </w:numPr>
        <w:suppressAutoHyphens w:val="0"/>
        <w:spacing w:after="200" w:line="276" w:lineRule="auto"/>
        <w:jc w:val="both"/>
        <w:rPr>
          <w:rFonts w:eastAsia="Calibri"/>
          <w:sz w:val="22"/>
          <w:szCs w:val="22"/>
          <w:lang w:val="uk-UA" w:eastAsia="en-US"/>
        </w:rPr>
      </w:pPr>
      <w:r w:rsidRPr="00EB5287">
        <w:rPr>
          <w:rFonts w:eastAsia="Calibri"/>
          <w:sz w:val="22"/>
          <w:szCs w:val="22"/>
          <w:lang w:val="uk-UA" w:eastAsia="en-US"/>
        </w:rPr>
        <w:t>Донараховано в резервний капітал – 12 тис.грн.</w:t>
      </w:r>
    </w:p>
    <w:p w:rsidR="003717AB" w:rsidRPr="00F61295" w:rsidRDefault="00357A2C" w:rsidP="004047BD">
      <w:pPr>
        <w:suppressAutoHyphens w:val="0"/>
        <w:spacing w:after="200" w:line="276" w:lineRule="auto"/>
        <w:jc w:val="both"/>
        <w:rPr>
          <w:rFonts w:ascii="Arial" w:eastAsia="Calibri" w:hAnsi="Arial" w:cs="Arial"/>
          <w:b/>
          <w:color w:val="222222"/>
          <w:sz w:val="22"/>
          <w:szCs w:val="22"/>
          <w:shd w:val="clear" w:color="auto" w:fill="FFEBA0"/>
          <w:lang w:val="uk-UA" w:eastAsia="en-US"/>
        </w:rPr>
      </w:pPr>
      <w:r w:rsidRPr="00EB5287">
        <w:rPr>
          <w:rFonts w:ascii="Arial" w:eastAsia="Calibri" w:hAnsi="Arial" w:cs="Arial"/>
          <w:b/>
          <w:color w:val="222222"/>
          <w:sz w:val="22"/>
          <w:szCs w:val="22"/>
          <w:shd w:val="clear" w:color="auto" w:fill="FFFFFF"/>
          <w:lang w:val="uk-UA" w:eastAsia="en-US"/>
        </w:rPr>
        <w:t>5</w:t>
      </w:r>
      <w:r w:rsidR="00F71119" w:rsidRPr="00EB5287">
        <w:rPr>
          <w:rFonts w:ascii="Arial" w:eastAsia="Calibri" w:hAnsi="Arial" w:cs="Arial"/>
          <w:b/>
          <w:color w:val="222222"/>
          <w:sz w:val="22"/>
          <w:szCs w:val="22"/>
          <w:shd w:val="clear" w:color="auto" w:fill="FFFFFF"/>
          <w:lang w:val="uk-UA" w:eastAsia="en-US"/>
        </w:rPr>
        <w:t>.15</w:t>
      </w:r>
      <w:r w:rsidR="003717AB" w:rsidRPr="00EB5287">
        <w:rPr>
          <w:rFonts w:ascii="Arial" w:eastAsia="Calibri" w:hAnsi="Arial" w:cs="Arial"/>
          <w:b/>
          <w:color w:val="222222"/>
          <w:sz w:val="22"/>
          <w:szCs w:val="22"/>
          <w:shd w:val="clear" w:color="auto" w:fill="FFFFFF"/>
          <w:lang w:val="uk-UA" w:eastAsia="en-US"/>
        </w:rPr>
        <w:t>. Розкриття інформації: операції з пов’язаними особами</w:t>
      </w:r>
      <w:r w:rsidR="003717AB" w:rsidRPr="00F61295">
        <w:rPr>
          <w:rFonts w:ascii="Arial" w:eastAsia="Calibri" w:hAnsi="Arial" w:cs="Arial"/>
          <w:b/>
          <w:color w:val="222222"/>
          <w:sz w:val="22"/>
          <w:szCs w:val="22"/>
          <w:shd w:val="clear" w:color="auto" w:fill="FFFFFF"/>
          <w:lang w:val="uk-UA" w:eastAsia="en-US"/>
        </w:rPr>
        <w:t xml:space="preserve"> (МСФЗ (ІА5) 24.13 МСФЗ (ІА5) 24.18</w:t>
      </w:r>
      <w:r w:rsidR="003717AB" w:rsidRPr="00F61295">
        <w:rPr>
          <w:rFonts w:ascii="Arial" w:eastAsia="Calibri" w:hAnsi="Arial" w:cs="Arial"/>
          <w:b/>
          <w:color w:val="222222"/>
          <w:sz w:val="22"/>
          <w:szCs w:val="22"/>
          <w:lang w:val="uk-UA" w:eastAsia="en-US"/>
        </w:rPr>
        <w:br/>
      </w:r>
      <w:r w:rsidR="003717AB" w:rsidRPr="00F61295">
        <w:rPr>
          <w:rFonts w:ascii="Arial" w:eastAsia="Calibri" w:hAnsi="Arial" w:cs="Arial"/>
          <w:b/>
          <w:color w:val="222222"/>
          <w:sz w:val="22"/>
          <w:szCs w:val="22"/>
          <w:shd w:val="clear" w:color="auto" w:fill="FFFFFF"/>
          <w:lang w:val="uk-UA" w:eastAsia="en-US"/>
        </w:rPr>
        <w:t xml:space="preserve">МСФЗ (ІА5) </w:t>
      </w:r>
      <w:r w:rsidR="003717AB" w:rsidRPr="00F61295">
        <w:rPr>
          <w:rFonts w:ascii="Arial" w:eastAsia="Calibri" w:hAnsi="Arial" w:cs="Arial"/>
          <w:b/>
          <w:color w:val="222222"/>
          <w:sz w:val="22"/>
          <w:szCs w:val="22"/>
          <w:shd w:val="clear" w:color="auto" w:fill="FFEBA0"/>
          <w:lang w:val="uk-UA" w:eastAsia="en-US"/>
        </w:rPr>
        <w:t>24.13).</w:t>
      </w:r>
    </w:p>
    <w:p w:rsidR="008F2A7D" w:rsidRDefault="008F2A7D" w:rsidP="004047BD">
      <w:pPr>
        <w:widowControl w:val="0"/>
        <w:overflowPunct w:val="0"/>
        <w:autoSpaceDE w:val="0"/>
        <w:spacing w:line="218" w:lineRule="auto"/>
        <w:ind w:right="20" w:firstLine="1702"/>
        <w:jc w:val="both"/>
        <w:rPr>
          <w:b/>
          <w:spacing w:val="-2"/>
          <w:lang w:val="uk-UA"/>
        </w:rPr>
      </w:pPr>
    </w:p>
    <w:p w:rsidR="005C0639" w:rsidRDefault="00A16D8E" w:rsidP="004047BD">
      <w:pPr>
        <w:pStyle w:val="af4"/>
        <w:ind w:firstLine="1702"/>
        <w:jc w:val="both"/>
        <w:rPr>
          <w:rFonts w:ascii="Times New Roman" w:hAnsi="Times New Roman" w:cs="Times New Roman"/>
          <w:sz w:val="22"/>
          <w:lang w:val="uk-UA"/>
        </w:rPr>
      </w:pPr>
      <w:r>
        <w:rPr>
          <w:rFonts w:ascii="Times New Roman" w:hAnsi="Times New Roman" w:cs="Times New Roman"/>
          <w:sz w:val="22"/>
          <w:lang w:val="uk-UA"/>
        </w:rPr>
        <w:t>П</w:t>
      </w:r>
      <w:r w:rsidRPr="00A16D8E">
        <w:rPr>
          <w:rFonts w:ascii="Times New Roman" w:hAnsi="Times New Roman" w:cs="Times New Roman"/>
          <w:sz w:val="22"/>
          <w:lang w:val="uk-UA"/>
        </w:rPr>
        <w:t>ов’язаним</w:t>
      </w:r>
      <w:r>
        <w:rPr>
          <w:rFonts w:ascii="Times New Roman" w:hAnsi="Times New Roman" w:cs="Times New Roman"/>
          <w:sz w:val="22"/>
          <w:lang w:val="uk-UA"/>
        </w:rPr>
        <w:t>и</w:t>
      </w:r>
      <w:r w:rsidR="005C0639">
        <w:rPr>
          <w:rFonts w:ascii="Times New Roman" w:hAnsi="Times New Roman" w:cs="Times New Roman"/>
          <w:sz w:val="22"/>
          <w:lang w:val="uk-UA"/>
        </w:rPr>
        <w:t xml:space="preserve"> особами для Установи є:  засновники та учасники товариства; посадові особи Установи.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837"/>
        <w:gridCol w:w="2155"/>
        <w:gridCol w:w="1571"/>
        <w:gridCol w:w="2262"/>
      </w:tblGrid>
      <w:tr w:rsidR="005C0639" w:rsidTr="00CD70EF">
        <w:trPr>
          <w:jc w:val="center"/>
        </w:trPr>
        <w:tc>
          <w:tcPr>
            <w:tcW w:w="544" w:type="dxa"/>
            <w:tcBorders>
              <w:top w:val="single" w:sz="4" w:space="0" w:color="auto"/>
              <w:left w:val="single" w:sz="4" w:space="0" w:color="auto"/>
              <w:bottom w:val="single" w:sz="4" w:space="0" w:color="auto"/>
              <w:right w:val="single" w:sz="4" w:space="0" w:color="auto"/>
            </w:tcBorders>
            <w:hideMark/>
          </w:tcPr>
          <w:p w:rsidR="005C0639" w:rsidRDefault="005C0639" w:rsidP="004047BD">
            <w:pPr>
              <w:pStyle w:val="af4"/>
              <w:spacing w:line="276" w:lineRule="auto"/>
              <w:ind w:left="-1723" w:right="-190" w:firstLine="1702"/>
              <w:jc w:val="both"/>
              <w:rPr>
                <w:rFonts w:ascii="Times New Roman" w:hAnsi="Times New Roman" w:cs="Times New Roman"/>
                <w:lang w:val="uk-UA"/>
              </w:rPr>
            </w:pPr>
            <w:r>
              <w:rPr>
                <w:rFonts w:ascii="Times New Roman" w:hAnsi="Times New Roman" w:cs="Times New Roman"/>
                <w:sz w:val="22"/>
                <w:lang w:val="uk-UA"/>
              </w:rPr>
              <w:t>№ п/п</w:t>
            </w:r>
          </w:p>
        </w:tc>
        <w:tc>
          <w:tcPr>
            <w:tcW w:w="2837" w:type="dxa"/>
            <w:tcBorders>
              <w:top w:val="single" w:sz="4" w:space="0" w:color="auto"/>
              <w:left w:val="single" w:sz="4" w:space="0" w:color="auto"/>
              <w:bottom w:val="single" w:sz="4" w:space="0" w:color="auto"/>
              <w:right w:val="single" w:sz="4" w:space="0" w:color="auto"/>
            </w:tcBorders>
            <w:hideMark/>
          </w:tcPr>
          <w:p w:rsidR="005C0639" w:rsidRDefault="005C0639" w:rsidP="004047BD">
            <w:pPr>
              <w:pStyle w:val="af4"/>
              <w:spacing w:line="276" w:lineRule="auto"/>
              <w:ind w:firstLine="1702"/>
              <w:jc w:val="both"/>
              <w:rPr>
                <w:rFonts w:ascii="Times New Roman" w:hAnsi="Times New Roman" w:cs="Times New Roman"/>
                <w:lang w:val="uk-UA"/>
              </w:rPr>
            </w:pPr>
            <w:r>
              <w:rPr>
                <w:rFonts w:ascii="Times New Roman" w:hAnsi="Times New Roman" w:cs="Times New Roman"/>
                <w:sz w:val="22"/>
                <w:lang w:val="uk-UA"/>
              </w:rPr>
              <w:t>П.І.Б. пов’язаної особи</w:t>
            </w:r>
          </w:p>
        </w:tc>
        <w:tc>
          <w:tcPr>
            <w:tcW w:w="2155" w:type="dxa"/>
            <w:tcBorders>
              <w:top w:val="single" w:sz="4" w:space="0" w:color="auto"/>
              <w:left w:val="single" w:sz="4" w:space="0" w:color="auto"/>
              <w:bottom w:val="single" w:sz="4" w:space="0" w:color="auto"/>
              <w:right w:val="single" w:sz="4" w:space="0" w:color="auto"/>
            </w:tcBorders>
            <w:vAlign w:val="center"/>
            <w:hideMark/>
          </w:tcPr>
          <w:p w:rsidR="005C0639" w:rsidRDefault="005C0639" w:rsidP="00CD70EF">
            <w:pPr>
              <w:pStyle w:val="af4"/>
              <w:spacing w:line="276" w:lineRule="auto"/>
              <w:ind w:left="-80" w:firstLine="27"/>
              <w:rPr>
                <w:rFonts w:ascii="Times New Roman" w:hAnsi="Times New Roman" w:cs="Times New Roman"/>
                <w:lang w:val="uk-UA"/>
              </w:rPr>
            </w:pPr>
            <w:r>
              <w:rPr>
                <w:rFonts w:ascii="Times New Roman" w:hAnsi="Times New Roman" w:cs="Times New Roman"/>
                <w:sz w:val="22"/>
                <w:lang w:val="uk-UA"/>
              </w:rPr>
              <w:t>Частка                                  засновника (учасника) Установи в сплаченому капіталі</w:t>
            </w:r>
          </w:p>
        </w:tc>
        <w:tc>
          <w:tcPr>
            <w:tcW w:w="1571" w:type="dxa"/>
            <w:tcBorders>
              <w:top w:val="single" w:sz="4" w:space="0" w:color="auto"/>
              <w:left w:val="single" w:sz="4" w:space="0" w:color="auto"/>
              <w:bottom w:val="single" w:sz="4" w:space="0" w:color="auto"/>
              <w:right w:val="single" w:sz="4" w:space="0" w:color="auto"/>
            </w:tcBorders>
            <w:vAlign w:val="center"/>
            <w:hideMark/>
          </w:tcPr>
          <w:p w:rsidR="005C0639" w:rsidRDefault="005C0639" w:rsidP="00CD70EF">
            <w:pPr>
              <w:pStyle w:val="af4"/>
              <w:spacing w:line="276" w:lineRule="auto"/>
              <w:ind w:left="-116" w:right="-122"/>
              <w:rPr>
                <w:rFonts w:ascii="Times New Roman" w:hAnsi="Times New Roman" w:cs="Times New Roman"/>
                <w:lang w:val="uk-UA"/>
              </w:rPr>
            </w:pPr>
            <w:r>
              <w:rPr>
                <w:rFonts w:ascii="Times New Roman" w:hAnsi="Times New Roman" w:cs="Times New Roman"/>
                <w:sz w:val="22"/>
                <w:lang w:val="uk-UA"/>
              </w:rPr>
              <w:t>Вид пов’язаної особи</w:t>
            </w:r>
          </w:p>
        </w:tc>
        <w:tc>
          <w:tcPr>
            <w:tcW w:w="2262" w:type="dxa"/>
            <w:tcBorders>
              <w:top w:val="single" w:sz="4" w:space="0" w:color="auto"/>
              <w:left w:val="single" w:sz="4" w:space="0" w:color="auto"/>
              <w:bottom w:val="single" w:sz="4" w:space="0" w:color="auto"/>
              <w:right w:val="single" w:sz="4" w:space="0" w:color="auto"/>
            </w:tcBorders>
            <w:vAlign w:val="center"/>
            <w:hideMark/>
          </w:tcPr>
          <w:p w:rsidR="005C0639" w:rsidRDefault="005C0639" w:rsidP="00CD70EF">
            <w:pPr>
              <w:pStyle w:val="af4"/>
              <w:spacing w:line="276" w:lineRule="auto"/>
              <w:ind w:left="-120" w:right="-229"/>
              <w:jc w:val="both"/>
              <w:rPr>
                <w:rFonts w:ascii="Times New Roman" w:hAnsi="Times New Roman" w:cs="Times New Roman"/>
                <w:lang w:val="uk-UA"/>
              </w:rPr>
            </w:pPr>
            <w:r>
              <w:rPr>
                <w:rFonts w:ascii="Times New Roman" w:hAnsi="Times New Roman" w:cs="Times New Roman"/>
                <w:sz w:val="22"/>
                <w:lang w:val="uk-UA"/>
              </w:rPr>
              <w:t>Посада</w:t>
            </w:r>
          </w:p>
        </w:tc>
      </w:tr>
      <w:tr w:rsidR="005C0639" w:rsidTr="00CD70EF">
        <w:trPr>
          <w:trHeight w:val="255"/>
          <w:jc w:val="center"/>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rsidR="00CC6A74" w:rsidRDefault="005C0639" w:rsidP="00CD70EF">
            <w:pPr>
              <w:pStyle w:val="af4"/>
              <w:spacing w:line="276" w:lineRule="auto"/>
              <w:ind w:left="-1687" w:right="-190" w:firstLine="1601"/>
              <w:jc w:val="center"/>
              <w:rPr>
                <w:rFonts w:ascii="Times New Roman" w:hAnsi="Times New Roman" w:cs="Times New Roman"/>
                <w:lang w:val="uk-UA"/>
              </w:rPr>
            </w:pPr>
            <w:r>
              <w:rPr>
                <w:rFonts w:ascii="Times New Roman" w:hAnsi="Times New Roman" w:cs="Times New Roman"/>
                <w:sz w:val="22"/>
                <w:lang w:val="uk-UA"/>
              </w:rPr>
              <w:t>1</w:t>
            </w:r>
          </w:p>
          <w:p w:rsidR="005C0639" w:rsidRPr="00CC6A74" w:rsidRDefault="005C0639" w:rsidP="00CD70EF">
            <w:pPr>
              <w:jc w:val="center"/>
              <w:rPr>
                <w:lang w:val="uk-UA" w:eastAsia="ar-SA" w:bidi="en-US"/>
              </w:rPr>
            </w:pPr>
          </w:p>
        </w:tc>
        <w:tc>
          <w:tcPr>
            <w:tcW w:w="2837" w:type="dxa"/>
            <w:vMerge w:val="restart"/>
            <w:tcBorders>
              <w:top w:val="single" w:sz="4" w:space="0" w:color="auto"/>
              <w:left w:val="single" w:sz="4" w:space="0" w:color="auto"/>
              <w:bottom w:val="single" w:sz="4" w:space="0" w:color="auto"/>
              <w:right w:val="single" w:sz="4" w:space="0" w:color="auto"/>
            </w:tcBorders>
            <w:vAlign w:val="center"/>
            <w:hideMark/>
          </w:tcPr>
          <w:p w:rsidR="005C0639" w:rsidRDefault="005C0639" w:rsidP="00CD70EF">
            <w:pPr>
              <w:pStyle w:val="af4"/>
              <w:spacing w:line="276" w:lineRule="auto"/>
              <w:ind w:left="-113" w:right="-154"/>
              <w:rPr>
                <w:rFonts w:ascii="Times New Roman" w:hAnsi="Times New Roman" w:cs="Times New Roman"/>
                <w:lang w:val="uk-UA"/>
              </w:rPr>
            </w:pPr>
            <w:r>
              <w:rPr>
                <w:szCs w:val="24"/>
                <w:lang w:val="uk-UA"/>
              </w:rPr>
              <w:t>Черник Роман Леонідович</w:t>
            </w:r>
          </w:p>
        </w:tc>
        <w:tc>
          <w:tcPr>
            <w:tcW w:w="2155" w:type="dxa"/>
            <w:tcBorders>
              <w:top w:val="single" w:sz="4" w:space="0" w:color="auto"/>
              <w:left w:val="single" w:sz="4" w:space="0" w:color="auto"/>
              <w:bottom w:val="single" w:sz="4" w:space="0" w:color="auto"/>
              <w:right w:val="single" w:sz="4" w:space="0" w:color="auto"/>
            </w:tcBorders>
            <w:hideMark/>
          </w:tcPr>
          <w:p w:rsidR="005C0639" w:rsidRDefault="005C0639" w:rsidP="00CD70EF">
            <w:pPr>
              <w:pStyle w:val="af4"/>
              <w:spacing w:line="276" w:lineRule="auto"/>
              <w:ind w:left="-80"/>
              <w:rPr>
                <w:rFonts w:ascii="Times New Roman" w:hAnsi="Times New Roman" w:cs="Times New Roman"/>
                <w:lang w:val="uk-UA"/>
              </w:rPr>
            </w:pPr>
            <w:r>
              <w:rPr>
                <w:rFonts w:ascii="Times New Roman" w:hAnsi="Times New Roman" w:cs="Times New Roman"/>
                <w:sz w:val="22"/>
                <w:lang w:val="uk-UA"/>
              </w:rPr>
              <w:t>50%</w:t>
            </w:r>
          </w:p>
        </w:tc>
        <w:tc>
          <w:tcPr>
            <w:tcW w:w="1571" w:type="dxa"/>
            <w:tcBorders>
              <w:top w:val="single" w:sz="4" w:space="0" w:color="auto"/>
              <w:left w:val="single" w:sz="4" w:space="0" w:color="auto"/>
              <w:bottom w:val="single" w:sz="4" w:space="0" w:color="auto"/>
              <w:right w:val="single" w:sz="4" w:space="0" w:color="auto"/>
            </w:tcBorders>
            <w:hideMark/>
          </w:tcPr>
          <w:p w:rsidR="005C0639" w:rsidRDefault="005C0639" w:rsidP="00CD70EF">
            <w:pPr>
              <w:pStyle w:val="af4"/>
              <w:spacing w:line="276" w:lineRule="auto"/>
              <w:ind w:left="-116" w:right="-149"/>
              <w:rPr>
                <w:rFonts w:ascii="Times New Roman" w:hAnsi="Times New Roman" w:cs="Times New Roman"/>
                <w:lang w:val="uk-UA"/>
              </w:rPr>
            </w:pPr>
            <w:r>
              <w:rPr>
                <w:rFonts w:ascii="Times New Roman" w:hAnsi="Times New Roman" w:cs="Times New Roman"/>
                <w:sz w:val="22"/>
                <w:lang w:val="uk-UA"/>
              </w:rPr>
              <w:t>засновник</w:t>
            </w:r>
          </w:p>
        </w:tc>
        <w:tc>
          <w:tcPr>
            <w:tcW w:w="2262" w:type="dxa"/>
            <w:tcBorders>
              <w:top w:val="single" w:sz="4" w:space="0" w:color="auto"/>
              <w:left w:val="single" w:sz="4" w:space="0" w:color="auto"/>
              <w:bottom w:val="single" w:sz="4" w:space="0" w:color="auto"/>
              <w:right w:val="single" w:sz="4" w:space="0" w:color="auto"/>
            </w:tcBorders>
            <w:hideMark/>
          </w:tcPr>
          <w:p w:rsidR="005C0639" w:rsidRDefault="00CD70EF" w:rsidP="00CD70EF">
            <w:pPr>
              <w:pStyle w:val="af4"/>
              <w:spacing w:line="276" w:lineRule="auto"/>
              <w:ind w:left="-120" w:right="-280"/>
              <w:jc w:val="both"/>
              <w:rPr>
                <w:rFonts w:ascii="Times New Roman" w:hAnsi="Times New Roman" w:cs="Times New Roman"/>
                <w:lang w:val="uk-UA"/>
              </w:rPr>
            </w:pPr>
            <w:r>
              <w:rPr>
                <w:rFonts w:ascii="Times New Roman" w:hAnsi="Times New Roman" w:cs="Times New Roman"/>
                <w:sz w:val="22"/>
                <w:lang w:val="uk-UA"/>
              </w:rPr>
              <w:t>Д</w:t>
            </w:r>
            <w:r w:rsidR="005C0639">
              <w:rPr>
                <w:rFonts w:ascii="Times New Roman" w:hAnsi="Times New Roman" w:cs="Times New Roman"/>
                <w:sz w:val="22"/>
                <w:lang w:val="uk-UA"/>
              </w:rPr>
              <w:t>иректор</w:t>
            </w:r>
          </w:p>
        </w:tc>
      </w:tr>
      <w:tr w:rsidR="005C0639" w:rsidTr="00CD70EF">
        <w:trPr>
          <w:trHeight w:val="255"/>
          <w:jc w:val="center"/>
        </w:trPr>
        <w:tc>
          <w:tcPr>
            <w:tcW w:w="544" w:type="dxa"/>
            <w:vMerge/>
            <w:tcBorders>
              <w:top w:val="single" w:sz="4" w:space="0" w:color="auto"/>
              <w:left w:val="single" w:sz="4" w:space="0" w:color="auto"/>
              <w:bottom w:val="single" w:sz="4" w:space="0" w:color="auto"/>
              <w:right w:val="single" w:sz="4" w:space="0" w:color="auto"/>
            </w:tcBorders>
            <w:vAlign w:val="center"/>
            <w:hideMark/>
          </w:tcPr>
          <w:p w:rsidR="005C0639" w:rsidRDefault="005C0639" w:rsidP="00CD70EF">
            <w:pPr>
              <w:suppressAutoHyphens w:val="0"/>
              <w:ind w:firstLine="1702"/>
              <w:jc w:val="center"/>
              <w:rPr>
                <w:rFonts w:eastAsiaTheme="minorHAnsi"/>
                <w:color w:val="000000"/>
                <w:lang w:val="uk-UA" w:eastAsia="ar-SA" w:bidi="en-US"/>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5C0639" w:rsidRDefault="005C0639" w:rsidP="00CD70EF">
            <w:pPr>
              <w:suppressAutoHyphens w:val="0"/>
              <w:ind w:left="-113" w:right="-154"/>
              <w:rPr>
                <w:rFonts w:eastAsiaTheme="minorHAnsi"/>
                <w:color w:val="000000"/>
                <w:lang w:val="uk-UA" w:eastAsia="ar-SA" w:bidi="en-US"/>
              </w:rPr>
            </w:pPr>
          </w:p>
        </w:tc>
        <w:tc>
          <w:tcPr>
            <w:tcW w:w="2155" w:type="dxa"/>
            <w:tcBorders>
              <w:top w:val="single" w:sz="4" w:space="0" w:color="auto"/>
              <w:left w:val="single" w:sz="4" w:space="0" w:color="auto"/>
              <w:bottom w:val="single" w:sz="4" w:space="0" w:color="auto"/>
              <w:right w:val="single" w:sz="4" w:space="0" w:color="auto"/>
            </w:tcBorders>
            <w:vAlign w:val="center"/>
            <w:hideMark/>
          </w:tcPr>
          <w:p w:rsidR="005C0639" w:rsidRDefault="005C0639" w:rsidP="00CD70EF">
            <w:pPr>
              <w:pStyle w:val="af4"/>
              <w:spacing w:line="276" w:lineRule="auto"/>
              <w:ind w:left="-80"/>
              <w:rPr>
                <w:rFonts w:ascii="Times New Roman" w:hAnsi="Times New Roman" w:cs="Times New Roman"/>
                <w:lang w:val="uk-UA"/>
              </w:rPr>
            </w:pPr>
            <w:r>
              <w:rPr>
                <w:rFonts w:ascii="Times New Roman" w:hAnsi="Times New Roman" w:cs="Times New Roman"/>
                <w:sz w:val="22"/>
                <w:lang w:val="uk-UA"/>
              </w:rPr>
              <w:t>-</w:t>
            </w:r>
          </w:p>
        </w:tc>
        <w:tc>
          <w:tcPr>
            <w:tcW w:w="1571" w:type="dxa"/>
            <w:tcBorders>
              <w:top w:val="single" w:sz="4" w:space="0" w:color="auto"/>
              <w:left w:val="single" w:sz="4" w:space="0" w:color="auto"/>
              <w:bottom w:val="single" w:sz="4" w:space="0" w:color="auto"/>
              <w:right w:val="single" w:sz="4" w:space="0" w:color="auto"/>
            </w:tcBorders>
            <w:vAlign w:val="center"/>
            <w:hideMark/>
          </w:tcPr>
          <w:p w:rsidR="005C0639" w:rsidRDefault="005C0639" w:rsidP="00CD70EF">
            <w:pPr>
              <w:pStyle w:val="af4"/>
              <w:spacing w:line="276" w:lineRule="auto"/>
              <w:ind w:left="-116" w:right="-149"/>
              <w:rPr>
                <w:rFonts w:ascii="Times New Roman" w:hAnsi="Times New Roman" w:cs="Times New Roman"/>
                <w:lang w:val="uk-UA"/>
              </w:rPr>
            </w:pPr>
            <w:r>
              <w:rPr>
                <w:rFonts w:ascii="Times New Roman" w:hAnsi="Times New Roman" w:cs="Times New Roman"/>
                <w:sz w:val="22"/>
                <w:lang w:val="uk-UA"/>
              </w:rPr>
              <w:t>посадова особа</w:t>
            </w:r>
          </w:p>
        </w:tc>
        <w:tc>
          <w:tcPr>
            <w:tcW w:w="2262" w:type="dxa"/>
            <w:tcBorders>
              <w:top w:val="single" w:sz="4" w:space="0" w:color="auto"/>
              <w:left w:val="single" w:sz="4" w:space="0" w:color="auto"/>
              <w:bottom w:val="single" w:sz="4" w:space="0" w:color="auto"/>
              <w:right w:val="single" w:sz="4" w:space="0" w:color="auto"/>
            </w:tcBorders>
            <w:hideMark/>
          </w:tcPr>
          <w:p w:rsidR="005C0639" w:rsidRDefault="005C0639" w:rsidP="00CD70EF">
            <w:pPr>
              <w:suppressAutoHyphens w:val="0"/>
              <w:spacing w:line="276" w:lineRule="auto"/>
              <w:ind w:left="-120" w:right="-1"/>
              <w:jc w:val="both"/>
              <w:rPr>
                <w:rFonts w:asciiTheme="minorHAnsi" w:eastAsiaTheme="minorHAnsi" w:hAnsiTheme="minorHAnsi"/>
                <w:lang w:val="en-US" w:eastAsia="en-US" w:bidi="en-US"/>
              </w:rPr>
            </w:pPr>
          </w:p>
        </w:tc>
      </w:tr>
      <w:tr w:rsidR="005C0639" w:rsidTr="00CD70EF">
        <w:trPr>
          <w:jc w:val="center"/>
        </w:trPr>
        <w:tc>
          <w:tcPr>
            <w:tcW w:w="544" w:type="dxa"/>
            <w:tcBorders>
              <w:top w:val="single" w:sz="4" w:space="0" w:color="auto"/>
              <w:left w:val="single" w:sz="4" w:space="0" w:color="auto"/>
              <w:bottom w:val="single" w:sz="4" w:space="0" w:color="auto"/>
              <w:right w:val="single" w:sz="4" w:space="0" w:color="auto"/>
            </w:tcBorders>
            <w:vAlign w:val="center"/>
            <w:hideMark/>
          </w:tcPr>
          <w:p w:rsidR="005C0639" w:rsidRDefault="005C0639" w:rsidP="00CD70EF">
            <w:pPr>
              <w:pStyle w:val="af4"/>
              <w:spacing w:line="276" w:lineRule="auto"/>
              <w:ind w:left="-792" w:right="-347" w:firstLine="647"/>
              <w:jc w:val="center"/>
              <w:rPr>
                <w:rFonts w:ascii="Times New Roman" w:hAnsi="Times New Roman" w:cs="Times New Roman"/>
                <w:lang w:val="uk-UA"/>
              </w:rPr>
            </w:pPr>
            <w:r>
              <w:rPr>
                <w:rFonts w:ascii="Times New Roman" w:hAnsi="Times New Roman" w:cs="Times New Roman"/>
                <w:sz w:val="22"/>
                <w:lang w:val="uk-UA"/>
              </w:rPr>
              <w:t>2</w:t>
            </w:r>
          </w:p>
        </w:tc>
        <w:tc>
          <w:tcPr>
            <w:tcW w:w="2837" w:type="dxa"/>
            <w:tcBorders>
              <w:top w:val="single" w:sz="4" w:space="0" w:color="auto"/>
              <w:left w:val="single" w:sz="4" w:space="0" w:color="auto"/>
              <w:bottom w:val="single" w:sz="4" w:space="0" w:color="auto"/>
              <w:right w:val="single" w:sz="4" w:space="0" w:color="auto"/>
            </w:tcBorders>
            <w:hideMark/>
          </w:tcPr>
          <w:p w:rsidR="005C0639" w:rsidRDefault="005C0639" w:rsidP="00CD70EF">
            <w:pPr>
              <w:pStyle w:val="af4"/>
              <w:spacing w:line="276" w:lineRule="auto"/>
              <w:ind w:left="-113" w:right="-154"/>
              <w:rPr>
                <w:rFonts w:ascii="Times New Roman" w:hAnsi="Times New Roman" w:cs="Times New Roman"/>
                <w:lang w:val="uk-UA"/>
              </w:rPr>
            </w:pPr>
            <w:r>
              <w:rPr>
                <w:szCs w:val="24"/>
                <w:lang w:val="uk-UA"/>
              </w:rPr>
              <w:t>Черник Вікторія Володимирівна</w:t>
            </w:r>
          </w:p>
        </w:tc>
        <w:tc>
          <w:tcPr>
            <w:tcW w:w="2155" w:type="dxa"/>
            <w:tcBorders>
              <w:top w:val="single" w:sz="4" w:space="0" w:color="auto"/>
              <w:left w:val="single" w:sz="4" w:space="0" w:color="auto"/>
              <w:bottom w:val="single" w:sz="4" w:space="0" w:color="auto"/>
              <w:right w:val="single" w:sz="4" w:space="0" w:color="auto"/>
            </w:tcBorders>
            <w:hideMark/>
          </w:tcPr>
          <w:p w:rsidR="005C0639" w:rsidRDefault="005C0639" w:rsidP="00CD70EF">
            <w:pPr>
              <w:pStyle w:val="af4"/>
              <w:spacing w:line="276" w:lineRule="auto"/>
              <w:ind w:left="-80"/>
              <w:rPr>
                <w:rFonts w:ascii="Times New Roman" w:hAnsi="Times New Roman" w:cs="Times New Roman"/>
                <w:lang w:val="uk-UA"/>
              </w:rPr>
            </w:pPr>
            <w:r>
              <w:rPr>
                <w:rFonts w:ascii="Times New Roman" w:hAnsi="Times New Roman" w:cs="Times New Roman"/>
                <w:sz w:val="22"/>
                <w:lang w:val="uk-UA"/>
              </w:rPr>
              <w:t>50%</w:t>
            </w:r>
          </w:p>
        </w:tc>
        <w:tc>
          <w:tcPr>
            <w:tcW w:w="1571" w:type="dxa"/>
            <w:tcBorders>
              <w:top w:val="single" w:sz="4" w:space="0" w:color="auto"/>
              <w:left w:val="single" w:sz="4" w:space="0" w:color="auto"/>
              <w:bottom w:val="single" w:sz="4" w:space="0" w:color="auto"/>
              <w:right w:val="single" w:sz="4" w:space="0" w:color="auto"/>
            </w:tcBorders>
            <w:hideMark/>
          </w:tcPr>
          <w:p w:rsidR="005C0639" w:rsidRDefault="005C0639" w:rsidP="00CD70EF">
            <w:pPr>
              <w:pStyle w:val="af4"/>
              <w:spacing w:line="276" w:lineRule="auto"/>
              <w:ind w:left="-116" w:right="-149"/>
              <w:rPr>
                <w:rFonts w:ascii="Times New Roman" w:hAnsi="Times New Roman" w:cs="Times New Roman"/>
                <w:lang w:val="uk-UA"/>
              </w:rPr>
            </w:pPr>
            <w:r>
              <w:rPr>
                <w:rFonts w:ascii="Times New Roman" w:hAnsi="Times New Roman" w:cs="Times New Roman"/>
                <w:sz w:val="22"/>
                <w:lang w:val="uk-UA"/>
              </w:rPr>
              <w:t>засновник</w:t>
            </w:r>
          </w:p>
        </w:tc>
        <w:tc>
          <w:tcPr>
            <w:tcW w:w="2262" w:type="dxa"/>
            <w:tcBorders>
              <w:top w:val="single" w:sz="4" w:space="0" w:color="auto"/>
              <w:left w:val="single" w:sz="4" w:space="0" w:color="auto"/>
              <w:bottom w:val="single" w:sz="4" w:space="0" w:color="auto"/>
              <w:right w:val="single" w:sz="4" w:space="0" w:color="auto"/>
            </w:tcBorders>
            <w:hideMark/>
          </w:tcPr>
          <w:p w:rsidR="005C0639" w:rsidRDefault="005C0639" w:rsidP="00CD70EF">
            <w:pPr>
              <w:pStyle w:val="af4"/>
              <w:spacing w:line="276" w:lineRule="auto"/>
              <w:ind w:left="-120" w:right="-1"/>
              <w:jc w:val="both"/>
              <w:rPr>
                <w:rFonts w:ascii="Times New Roman" w:hAnsi="Times New Roman" w:cs="Times New Roman"/>
                <w:lang w:val="uk-UA"/>
              </w:rPr>
            </w:pPr>
            <w:r>
              <w:rPr>
                <w:rFonts w:ascii="Times New Roman" w:hAnsi="Times New Roman" w:cs="Times New Roman"/>
                <w:sz w:val="22"/>
                <w:lang w:val="uk-UA"/>
              </w:rPr>
              <w:t>Головний бухгалтер</w:t>
            </w:r>
          </w:p>
        </w:tc>
      </w:tr>
    </w:tbl>
    <w:p w:rsidR="005C0639" w:rsidRDefault="005C0639" w:rsidP="004047BD">
      <w:pPr>
        <w:pStyle w:val="af4"/>
        <w:ind w:firstLine="1702"/>
        <w:jc w:val="both"/>
        <w:rPr>
          <w:rFonts w:ascii="Times New Roman" w:hAnsi="Times New Roman" w:cs="Times New Roman"/>
          <w:sz w:val="22"/>
          <w:lang w:val="uk-UA"/>
        </w:rPr>
      </w:pPr>
    </w:p>
    <w:p w:rsidR="005C0639" w:rsidRDefault="005C0639" w:rsidP="004047BD">
      <w:pPr>
        <w:pStyle w:val="af4"/>
        <w:ind w:firstLine="1702"/>
        <w:jc w:val="both"/>
        <w:rPr>
          <w:rFonts w:ascii="Times New Roman" w:hAnsi="Times New Roman" w:cs="Times New Roman"/>
          <w:sz w:val="22"/>
          <w:lang w:val="uk-UA"/>
        </w:rPr>
      </w:pPr>
      <w:r>
        <w:rPr>
          <w:rFonts w:ascii="Times New Roman" w:hAnsi="Times New Roman" w:cs="Times New Roman"/>
          <w:sz w:val="22"/>
          <w:lang w:val="uk-UA"/>
        </w:rPr>
        <w:t xml:space="preserve">Протягом звітного періоду управлінському персоналу Установи нараховувалась і виплачувалась заробітна плата відповідно до встановленої системи оплати праці. Компенсації та інші додаткові виплати керівництву Установи, іншому управлінському персоналу не здійснювались. </w:t>
      </w:r>
    </w:p>
    <w:p w:rsidR="005C0639" w:rsidRPr="00B007CC" w:rsidRDefault="005C0639" w:rsidP="004047BD">
      <w:pPr>
        <w:pStyle w:val="af4"/>
        <w:ind w:firstLine="1702"/>
        <w:jc w:val="both"/>
        <w:rPr>
          <w:rFonts w:ascii="Times New Roman" w:hAnsi="Times New Roman" w:cs="Times New Roman"/>
          <w:szCs w:val="24"/>
          <w:lang w:val="uk-UA"/>
        </w:rPr>
      </w:pPr>
      <w:r w:rsidRPr="00A80A18">
        <w:rPr>
          <w:rFonts w:ascii="Times New Roman" w:hAnsi="Times New Roman" w:cs="Times New Roman"/>
          <w:szCs w:val="24"/>
          <w:lang w:val="uk-UA"/>
        </w:rPr>
        <w:t xml:space="preserve">Протягом звітного періоду </w:t>
      </w:r>
      <w:r w:rsidR="00A80A18" w:rsidRPr="00A80A18">
        <w:rPr>
          <w:rFonts w:ascii="Times New Roman" w:hAnsi="Times New Roman" w:cs="Times New Roman"/>
          <w:szCs w:val="24"/>
          <w:lang w:val="uk-UA"/>
        </w:rPr>
        <w:t xml:space="preserve"> в Установі</w:t>
      </w:r>
      <w:r w:rsidRPr="00A80A18">
        <w:rPr>
          <w:rFonts w:ascii="Times New Roman" w:hAnsi="Times New Roman" w:cs="Times New Roman"/>
          <w:szCs w:val="24"/>
          <w:lang w:val="uk-UA"/>
        </w:rPr>
        <w:t xml:space="preserve"> </w:t>
      </w:r>
      <w:r w:rsidR="00A80A18" w:rsidRPr="00A80A18">
        <w:rPr>
          <w:rFonts w:ascii="Times New Roman" w:hAnsi="Times New Roman" w:cs="Times New Roman"/>
          <w:szCs w:val="24"/>
          <w:lang w:val="uk-UA"/>
        </w:rPr>
        <w:t>інші</w:t>
      </w:r>
      <w:r w:rsidRPr="00A80A18">
        <w:rPr>
          <w:rFonts w:ascii="Times New Roman" w:hAnsi="Times New Roman" w:cs="Times New Roman"/>
          <w:szCs w:val="24"/>
          <w:lang w:val="uk-UA"/>
        </w:rPr>
        <w:t xml:space="preserve"> оп</w:t>
      </w:r>
      <w:r w:rsidR="004B40B4" w:rsidRPr="00A80A18">
        <w:rPr>
          <w:rFonts w:ascii="Times New Roman" w:hAnsi="Times New Roman" w:cs="Times New Roman"/>
          <w:szCs w:val="24"/>
          <w:lang w:val="uk-UA"/>
        </w:rPr>
        <w:t xml:space="preserve">ерації з пов'язаними сторонами </w:t>
      </w:r>
      <w:r w:rsidR="00A80A18" w:rsidRPr="00A80A18">
        <w:rPr>
          <w:rFonts w:ascii="Times New Roman" w:hAnsi="Times New Roman" w:cs="Times New Roman"/>
          <w:szCs w:val="24"/>
          <w:lang w:val="uk-UA"/>
        </w:rPr>
        <w:t xml:space="preserve"> не здійснювались.</w:t>
      </w:r>
    </w:p>
    <w:p w:rsidR="007E0089" w:rsidRDefault="007E0089" w:rsidP="004047BD">
      <w:pPr>
        <w:pStyle w:val="WW-DefaultStyle"/>
        <w:ind w:firstLine="1702"/>
        <w:jc w:val="both"/>
        <w:rPr>
          <w:rFonts w:cs="Times New Roman"/>
          <w:lang w:val="uk-UA"/>
        </w:rPr>
      </w:pPr>
      <w:bookmarkStart w:id="34" w:name="__RefHeading__4148_895943822"/>
      <w:bookmarkStart w:id="35" w:name="__RefHeading__4146_895943822"/>
      <w:bookmarkStart w:id="36" w:name="__RefHeading__4142_895943822"/>
      <w:bookmarkStart w:id="37" w:name="__RefHeading__4140_895943822"/>
      <w:bookmarkStart w:id="38" w:name="__RefHeading__4138_895943822"/>
      <w:bookmarkStart w:id="39" w:name="__RefHeading__4136_895943822"/>
      <w:bookmarkStart w:id="40" w:name="__RefHeading__4134_895943822"/>
    </w:p>
    <w:p w:rsidR="007E0089" w:rsidRDefault="00B21102" w:rsidP="004047BD">
      <w:pPr>
        <w:pStyle w:val="WW-DefaultStyle"/>
        <w:ind w:firstLine="1702"/>
        <w:jc w:val="both"/>
        <w:rPr>
          <w:rFonts w:cs="Times New Roman"/>
          <w:lang w:val="uk-UA"/>
        </w:rPr>
      </w:pPr>
      <w:r w:rsidRPr="00B21102">
        <w:rPr>
          <w:rFonts w:cs="Times New Roman"/>
          <w:lang w:val="uk-UA"/>
        </w:rPr>
        <w:t>Фінансова звітність за р</w:t>
      </w:r>
      <w:r w:rsidR="00C31236">
        <w:rPr>
          <w:rFonts w:cs="Times New Roman"/>
          <w:lang w:val="uk-UA"/>
        </w:rPr>
        <w:t>ік, що закінчився 31 грудня 2017</w:t>
      </w:r>
      <w:r w:rsidRPr="00B21102">
        <w:rPr>
          <w:rFonts w:cs="Times New Roman"/>
          <w:lang w:val="uk-UA"/>
        </w:rPr>
        <w:t xml:space="preserve"> </w:t>
      </w:r>
      <w:r w:rsidR="00C31236">
        <w:rPr>
          <w:rFonts w:cs="Times New Roman"/>
          <w:lang w:val="uk-UA"/>
        </w:rPr>
        <w:t>року, затверджена для випуску 25 лютого 2018</w:t>
      </w:r>
      <w:r w:rsidRPr="00B21102">
        <w:rPr>
          <w:rFonts w:cs="Times New Roman"/>
          <w:lang w:val="uk-UA"/>
        </w:rPr>
        <w:t xml:space="preserve"> року</w:t>
      </w:r>
      <w:r w:rsidR="00346277">
        <w:rPr>
          <w:rFonts w:cs="Times New Roman"/>
          <w:lang w:val="uk-UA"/>
        </w:rPr>
        <w:t>.</w:t>
      </w:r>
    </w:p>
    <w:p w:rsidR="007E0089" w:rsidRDefault="007E0089" w:rsidP="004047BD">
      <w:pPr>
        <w:pStyle w:val="WW-DefaultStyle"/>
        <w:ind w:firstLine="1702"/>
        <w:jc w:val="both"/>
        <w:rPr>
          <w:rFonts w:cs="Times New Roman"/>
          <w:lang w:val="uk-UA"/>
        </w:rPr>
      </w:pPr>
    </w:p>
    <w:p w:rsidR="007E0089" w:rsidRDefault="007E0089" w:rsidP="004047BD">
      <w:pPr>
        <w:pStyle w:val="WW-DefaultStyle"/>
        <w:ind w:firstLine="1702"/>
        <w:jc w:val="both"/>
        <w:rPr>
          <w:rFonts w:cs="Times New Roman"/>
          <w:lang w:val="uk-UA"/>
        </w:rPr>
      </w:pPr>
    </w:p>
    <w:p w:rsidR="007E0089" w:rsidRDefault="007E0089" w:rsidP="004047BD">
      <w:pPr>
        <w:pStyle w:val="WW-DefaultStyle"/>
        <w:ind w:firstLine="1702"/>
        <w:jc w:val="both"/>
        <w:rPr>
          <w:rFonts w:cs="Times New Roman"/>
          <w:lang w:val="uk-UA"/>
        </w:rPr>
      </w:pPr>
    </w:p>
    <w:p w:rsidR="005C0639" w:rsidRDefault="005C0639" w:rsidP="004047BD">
      <w:pPr>
        <w:pStyle w:val="WW-DefaultStyle"/>
        <w:ind w:firstLine="1702"/>
        <w:jc w:val="both"/>
        <w:rPr>
          <w:rFonts w:ascii="Arial" w:hAnsi="Arial" w:cs="Arial"/>
          <w:b/>
          <w:lang w:val="uk-UA"/>
        </w:rPr>
      </w:pPr>
      <w:r>
        <w:rPr>
          <w:rFonts w:cs="Times New Roman"/>
          <w:lang w:val="uk-UA"/>
        </w:rPr>
        <w:t xml:space="preserve">Директор                                       </w:t>
      </w:r>
      <w:r w:rsidR="004B40B4">
        <w:rPr>
          <w:rFonts w:cs="Times New Roman"/>
          <w:lang w:val="uk-UA"/>
        </w:rPr>
        <w:t xml:space="preserve">                </w:t>
      </w:r>
      <w:r>
        <w:rPr>
          <w:rFonts w:cs="Times New Roman"/>
          <w:lang w:val="uk-UA"/>
        </w:rPr>
        <w:t xml:space="preserve">            </w:t>
      </w:r>
      <w:r>
        <w:rPr>
          <w:lang w:val="uk-UA"/>
        </w:rPr>
        <w:t>Черник</w:t>
      </w:r>
      <w:r>
        <w:rPr>
          <w:rFonts w:cs="Times New Roman"/>
          <w:lang w:val="uk-UA"/>
        </w:rPr>
        <w:t xml:space="preserve">     </w:t>
      </w:r>
      <w:r>
        <w:rPr>
          <w:lang w:val="uk-UA"/>
        </w:rPr>
        <w:t>Роман Леонідович</w:t>
      </w:r>
    </w:p>
    <w:p w:rsidR="005C0639" w:rsidRDefault="005C0639" w:rsidP="004047BD">
      <w:pPr>
        <w:pStyle w:val="WW-DefaultStyle"/>
        <w:ind w:firstLine="1702"/>
        <w:jc w:val="both"/>
        <w:rPr>
          <w:rFonts w:cs="Times New Roman"/>
          <w:lang w:val="uk-UA"/>
        </w:rPr>
      </w:pPr>
    </w:p>
    <w:p w:rsidR="005C0639" w:rsidRPr="00E00A0F" w:rsidRDefault="005C0639" w:rsidP="004047BD">
      <w:pPr>
        <w:pStyle w:val="WW-DefaultStyle"/>
        <w:ind w:firstLine="1702"/>
        <w:jc w:val="both"/>
        <w:rPr>
          <w:rFonts w:cs="Times New Roman"/>
        </w:rPr>
      </w:pPr>
      <w:r>
        <w:rPr>
          <w:rFonts w:cs="Times New Roman"/>
          <w:lang w:val="uk-UA"/>
        </w:rPr>
        <w:t xml:space="preserve">Головний бухгалтер                        </w:t>
      </w:r>
      <w:r w:rsidR="004B40B4">
        <w:rPr>
          <w:rFonts w:cs="Times New Roman"/>
          <w:lang w:val="uk-UA"/>
        </w:rPr>
        <w:t xml:space="preserve">                </w:t>
      </w:r>
      <w:r>
        <w:rPr>
          <w:rFonts w:cs="Times New Roman"/>
          <w:lang w:val="uk-UA"/>
        </w:rPr>
        <w:t xml:space="preserve">          </w:t>
      </w:r>
      <w:r>
        <w:rPr>
          <w:lang w:val="uk-UA"/>
        </w:rPr>
        <w:t>Черник Вікторія Володимирівна</w:t>
      </w:r>
      <w:bookmarkEnd w:id="34"/>
      <w:bookmarkEnd w:id="35"/>
      <w:bookmarkEnd w:id="36"/>
      <w:bookmarkEnd w:id="37"/>
      <w:bookmarkEnd w:id="38"/>
      <w:bookmarkEnd w:id="39"/>
      <w:bookmarkEnd w:id="40"/>
    </w:p>
    <w:p w:rsidR="00666497" w:rsidRDefault="00666497" w:rsidP="004047BD">
      <w:pPr>
        <w:ind w:firstLine="1702"/>
        <w:jc w:val="both"/>
      </w:pPr>
    </w:p>
    <w:sectPr w:rsidR="00666497" w:rsidSect="00C50B25">
      <w:headerReference w:type="default" r:id="rId8"/>
      <w:pgSz w:w="11906" w:h="16838"/>
      <w:pgMar w:top="426" w:right="566" w:bottom="851" w:left="851" w:header="283"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44C" w:rsidRDefault="00D3644C">
      <w:r>
        <w:separator/>
      </w:r>
    </w:p>
  </w:endnote>
  <w:endnote w:type="continuationSeparator" w:id="0">
    <w:p w:rsidR="00D3644C" w:rsidRDefault="00D3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NTTimes/Cyrillic">
    <w:altName w:val="Times New Roman"/>
    <w:panose1 w:val="00000000000000000000"/>
    <w:charset w:val="00"/>
    <w:family w:val="roman"/>
    <w:notTrueType/>
    <w:pitch w:val="default"/>
  </w:font>
  <w:font w:name="Liberation Serif">
    <w:altName w:val="Times New Roman"/>
    <w:charset w:val="80"/>
    <w:family w:val="roman"/>
    <w:pitch w:val="variable"/>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44C" w:rsidRDefault="00D3644C">
      <w:r>
        <w:separator/>
      </w:r>
    </w:p>
  </w:footnote>
  <w:footnote w:type="continuationSeparator" w:id="0">
    <w:p w:rsidR="00D3644C" w:rsidRDefault="00D36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474022"/>
      <w:docPartObj>
        <w:docPartGallery w:val="Page Numbers (Top of Page)"/>
        <w:docPartUnique/>
      </w:docPartObj>
    </w:sdtPr>
    <w:sdtEndPr/>
    <w:sdtContent>
      <w:p w:rsidR="006A3E59" w:rsidRDefault="006A3E59">
        <w:pPr>
          <w:pStyle w:val="af7"/>
          <w:jc w:val="right"/>
        </w:pPr>
        <w:r>
          <w:fldChar w:fldCharType="begin"/>
        </w:r>
        <w:r>
          <w:instrText>PAGE   \* MERGEFORMAT</w:instrText>
        </w:r>
        <w:r>
          <w:fldChar w:fldCharType="separate"/>
        </w:r>
        <w:r w:rsidR="00D45D0F">
          <w:rPr>
            <w:noProof/>
          </w:rPr>
          <w:t>2</w:t>
        </w:r>
        <w:r>
          <w:fldChar w:fldCharType="end"/>
        </w:r>
      </w:p>
    </w:sdtContent>
  </w:sdt>
  <w:p w:rsidR="006A3E59" w:rsidRDefault="006A3E5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nsid w:val="00000003"/>
    <w:multiLevelType w:val="singleLevel"/>
    <w:tmpl w:val="00000003"/>
    <w:name w:val="WW8Num5"/>
    <w:lvl w:ilvl="0">
      <w:start w:val="1"/>
      <w:numFmt w:val="decimal"/>
      <w:lvlText w:val="%1)"/>
      <w:lvlJc w:val="left"/>
      <w:pPr>
        <w:tabs>
          <w:tab w:val="num" w:pos="0"/>
        </w:tabs>
        <w:ind w:left="720" w:hanging="360"/>
      </w:pPr>
    </w:lvl>
  </w:abstractNum>
  <w:abstractNum w:abstractNumId="3">
    <w:nsid w:val="03E17B7A"/>
    <w:multiLevelType w:val="hybridMultilevel"/>
    <w:tmpl w:val="C5B64F32"/>
    <w:numStyleLink w:val="4"/>
  </w:abstractNum>
  <w:abstractNum w:abstractNumId="4">
    <w:nsid w:val="0ADC41C9"/>
    <w:multiLevelType w:val="hybridMultilevel"/>
    <w:tmpl w:val="F86E2D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334CEF"/>
    <w:multiLevelType w:val="hybridMultilevel"/>
    <w:tmpl w:val="7FAEA1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ADF01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E056A5F"/>
    <w:multiLevelType w:val="hybridMultilevel"/>
    <w:tmpl w:val="965A9FD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F0F4A05"/>
    <w:multiLevelType w:val="hybridMultilevel"/>
    <w:tmpl w:val="C5B64F32"/>
    <w:styleLink w:val="4"/>
    <w:lvl w:ilvl="0" w:tplc="B9AA5FE4">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F323EA4">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B0C158C">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DC45C3E">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D9265D4">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3EC9376">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F6889C8">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E280E96">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8EEA8B8">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1F5A7C3E"/>
    <w:multiLevelType w:val="hybridMultilevel"/>
    <w:tmpl w:val="3870A3E4"/>
    <w:lvl w:ilvl="0" w:tplc="E0A2339A">
      <w:start w:val="8"/>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070337A"/>
    <w:multiLevelType w:val="hybridMultilevel"/>
    <w:tmpl w:val="AE020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8D0B22"/>
    <w:multiLevelType w:val="multilevel"/>
    <w:tmpl w:val="AA54F91A"/>
    <w:lvl w:ilvl="0">
      <w:start w:val="1"/>
      <w:numFmt w:val="decimal"/>
      <w:lvlText w:val="%1."/>
      <w:lvlJc w:val="left"/>
      <w:pPr>
        <w:tabs>
          <w:tab w:val="num" w:pos="600"/>
        </w:tabs>
        <w:ind w:left="600" w:hanging="540"/>
      </w:pPr>
      <w:rPr>
        <w:rFonts w:hint="default"/>
      </w:rPr>
    </w:lvl>
    <w:lvl w:ilvl="1">
      <w:start w:val="1"/>
      <w:numFmt w:val="decimal"/>
      <w:isLgl/>
      <w:lvlText w:val="%1.%2"/>
      <w:lvlJc w:val="left"/>
      <w:pPr>
        <w:tabs>
          <w:tab w:val="num" w:pos="600"/>
        </w:tabs>
        <w:ind w:left="600" w:hanging="54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2">
    <w:nsid w:val="24396463"/>
    <w:multiLevelType w:val="hybridMultilevel"/>
    <w:tmpl w:val="DF86A536"/>
    <w:numStyleLink w:val="2"/>
  </w:abstractNum>
  <w:abstractNum w:abstractNumId="13">
    <w:nsid w:val="2C586E11"/>
    <w:multiLevelType w:val="multilevel"/>
    <w:tmpl w:val="4B3E1FB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1F94F16"/>
    <w:multiLevelType w:val="hybridMultilevel"/>
    <w:tmpl w:val="35987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2E432D"/>
    <w:multiLevelType w:val="hybridMultilevel"/>
    <w:tmpl w:val="BC045C6E"/>
    <w:lvl w:ilvl="0" w:tplc="3136533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8F22B89"/>
    <w:multiLevelType w:val="hybridMultilevel"/>
    <w:tmpl w:val="C206DE7E"/>
    <w:lvl w:ilvl="0" w:tplc="3F56318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57FEE"/>
    <w:multiLevelType w:val="hybridMultilevel"/>
    <w:tmpl w:val="48C62DC4"/>
    <w:lvl w:ilvl="0" w:tplc="04220001">
      <w:start w:val="1"/>
      <w:numFmt w:val="bullet"/>
      <w:lvlText w:val=""/>
      <w:lvlJc w:val="left"/>
      <w:pPr>
        <w:ind w:left="832" w:hanging="360"/>
      </w:pPr>
      <w:rPr>
        <w:rFonts w:ascii="Symbol" w:hAnsi="Symbol" w:hint="default"/>
      </w:rPr>
    </w:lvl>
    <w:lvl w:ilvl="1" w:tplc="04220003" w:tentative="1">
      <w:start w:val="1"/>
      <w:numFmt w:val="bullet"/>
      <w:lvlText w:val="o"/>
      <w:lvlJc w:val="left"/>
      <w:pPr>
        <w:ind w:left="1552" w:hanging="360"/>
      </w:pPr>
      <w:rPr>
        <w:rFonts w:ascii="Courier New" w:hAnsi="Courier New" w:cs="Courier New" w:hint="default"/>
      </w:rPr>
    </w:lvl>
    <w:lvl w:ilvl="2" w:tplc="04220005" w:tentative="1">
      <w:start w:val="1"/>
      <w:numFmt w:val="bullet"/>
      <w:lvlText w:val=""/>
      <w:lvlJc w:val="left"/>
      <w:pPr>
        <w:ind w:left="2272" w:hanging="360"/>
      </w:pPr>
      <w:rPr>
        <w:rFonts w:ascii="Wingdings" w:hAnsi="Wingdings" w:hint="default"/>
      </w:rPr>
    </w:lvl>
    <w:lvl w:ilvl="3" w:tplc="04220001" w:tentative="1">
      <w:start w:val="1"/>
      <w:numFmt w:val="bullet"/>
      <w:lvlText w:val=""/>
      <w:lvlJc w:val="left"/>
      <w:pPr>
        <w:ind w:left="2992" w:hanging="360"/>
      </w:pPr>
      <w:rPr>
        <w:rFonts w:ascii="Symbol" w:hAnsi="Symbol" w:hint="default"/>
      </w:rPr>
    </w:lvl>
    <w:lvl w:ilvl="4" w:tplc="04220003" w:tentative="1">
      <w:start w:val="1"/>
      <w:numFmt w:val="bullet"/>
      <w:lvlText w:val="o"/>
      <w:lvlJc w:val="left"/>
      <w:pPr>
        <w:ind w:left="3712" w:hanging="360"/>
      </w:pPr>
      <w:rPr>
        <w:rFonts w:ascii="Courier New" w:hAnsi="Courier New" w:cs="Courier New" w:hint="default"/>
      </w:rPr>
    </w:lvl>
    <w:lvl w:ilvl="5" w:tplc="04220005" w:tentative="1">
      <w:start w:val="1"/>
      <w:numFmt w:val="bullet"/>
      <w:lvlText w:val=""/>
      <w:lvlJc w:val="left"/>
      <w:pPr>
        <w:ind w:left="4432" w:hanging="360"/>
      </w:pPr>
      <w:rPr>
        <w:rFonts w:ascii="Wingdings" w:hAnsi="Wingdings" w:hint="default"/>
      </w:rPr>
    </w:lvl>
    <w:lvl w:ilvl="6" w:tplc="04220001" w:tentative="1">
      <w:start w:val="1"/>
      <w:numFmt w:val="bullet"/>
      <w:lvlText w:val=""/>
      <w:lvlJc w:val="left"/>
      <w:pPr>
        <w:ind w:left="5152" w:hanging="360"/>
      </w:pPr>
      <w:rPr>
        <w:rFonts w:ascii="Symbol" w:hAnsi="Symbol" w:hint="default"/>
      </w:rPr>
    </w:lvl>
    <w:lvl w:ilvl="7" w:tplc="04220003" w:tentative="1">
      <w:start w:val="1"/>
      <w:numFmt w:val="bullet"/>
      <w:lvlText w:val="o"/>
      <w:lvlJc w:val="left"/>
      <w:pPr>
        <w:ind w:left="5872" w:hanging="360"/>
      </w:pPr>
      <w:rPr>
        <w:rFonts w:ascii="Courier New" w:hAnsi="Courier New" w:cs="Courier New" w:hint="default"/>
      </w:rPr>
    </w:lvl>
    <w:lvl w:ilvl="8" w:tplc="04220005" w:tentative="1">
      <w:start w:val="1"/>
      <w:numFmt w:val="bullet"/>
      <w:lvlText w:val=""/>
      <w:lvlJc w:val="left"/>
      <w:pPr>
        <w:ind w:left="6592" w:hanging="360"/>
      </w:pPr>
      <w:rPr>
        <w:rFonts w:ascii="Wingdings" w:hAnsi="Wingdings" w:hint="default"/>
      </w:rPr>
    </w:lvl>
  </w:abstractNum>
  <w:abstractNum w:abstractNumId="18">
    <w:nsid w:val="49A32425"/>
    <w:multiLevelType w:val="hybridMultilevel"/>
    <w:tmpl w:val="A6766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585877"/>
    <w:multiLevelType w:val="hybridMultilevel"/>
    <w:tmpl w:val="D766E5BA"/>
    <w:lvl w:ilvl="0" w:tplc="2F9E4072">
      <w:start w:val="3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nsid w:val="519B6804"/>
    <w:multiLevelType w:val="hybridMultilevel"/>
    <w:tmpl w:val="DF86A536"/>
    <w:styleLink w:val="2"/>
    <w:lvl w:ilvl="0" w:tplc="A0BE0276">
      <w:start w:val="1"/>
      <w:numFmt w:val="decimal"/>
      <w:lvlText w:val="%1."/>
      <w:lvlJc w:val="left"/>
      <w:pPr>
        <w:tabs>
          <w:tab w:val="left" w:pos="993"/>
        </w:tabs>
        <w:ind w:left="432" w:hanging="14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D40C63C">
      <w:start w:val="1"/>
      <w:numFmt w:val="decimal"/>
      <w:lvlText w:val="%2."/>
      <w:lvlJc w:val="left"/>
      <w:pPr>
        <w:ind w:left="710" w:hanging="42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D401FAA">
      <w:numFmt w:val="none"/>
      <w:lvlText w:val=""/>
      <w:lvlJc w:val="left"/>
      <w:pPr>
        <w:tabs>
          <w:tab w:val="num" w:pos="360"/>
        </w:tabs>
      </w:pPr>
    </w:lvl>
    <w:lvl w:ilvl="3" w:tplc="20C8E8D0">
      <w:numFmt w:val="none"/>
      <w:lvlText w:val=""/>
      <w:lvlJc w:val="left"/>
      <w:pPr>
        <w:tabs>
          <w:tab w:val="num" w:pos="360"/>
        </w:tabs>
      </w:pPr>
    </w:lvl>
    <w:lvl w:ilvl="4" w:tplc="3002246A">
      <w:numFmt w:val="none"/>
      <w:lvlText w:val=""/>
      <w:lvlJc w:val="left"/>
      <w:pPr>
        <w:tabs>
          <w:tab w:val="num" w:pos="360"/>
        </w:tabs>
      </w:pPr>
    </w:lvl>
    <w:lvl w:ilvl="5" w:tplc="38A690E8">
      <w:numFmt w:val="none"/>
      <w:lvlText w:val=""/>
      <w:lvlJc w:val="left"/>
      <w:pPr>
        <w:tabs>
          <w:tab w:val="num" w:pos="360"/>
        </w:tabs>
      </w:pPr>
    </w:lvl>
    <w:lvl w:ilvl="6" w:tplc="804EBF00">
      <w:numFmt w:val="none"/>
      <w:lvlText w:val=""/>
      <w:lvlJc w:val="left"/>
      <w:pPr>
        <w:tabs>
          <w:tab w:val="num" w:pos="360"/>
        </w:tabs>
      </w:pPr>
    </w:lvl>
    <w:lvl w:ilvl="7" w:tplc="F34E898C">
      <w:numFmt w:val="none"/>
      <w:lvlText w:val=""/>
      <w:lvlJc w:val="left"/>
      <w:pPr>
        <w:tabs>
          <w:tab w:val="num" w:pos="360"/>
        </w:tabs>
      </w:pPr>
    </w:lvl>
    <w:lvl w:ilvl="8" w:tplc="5B8460F6">
      <w:numFmt w:val="none"/>
      <w:lvlText w:val=""/>
      <w:lvlJc w:val="left"/>
      <w:pPr>
        <w:tabs>
          <w:tab w:val="num" w:pos="360"/>
        </w:tabs>
      </w:pPr>
    </w:lvl>
  </w:abstractNum>
  <w:abstractNum w:abstractNumId="21">
    <w:nsid w:val="542F696D"/>
    <w:multiLevelType w:val="hybridMultilevel"/>
    <w:tmpl w:val="6848E7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02378BC"/>
    <w:multiLevelType w:val="hybridMultilevel"/>
    <w:tmpl w:val="2F2C38C8"/>
    <w:lvl w:ilvl="0" w:tplc="D5849F1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041CAC"/>
    <w:multiLevelType w:val="hybridMultilevel"/>
    <w:tmpl w:val="96BC3D1C"/>
    <w:lvl w:ilvl="0" w:tplc="DE727E9C">
      <w:numFmt w:val="bullet"/>
      <w:lvlText w:val="-"/>
      <w:lvlJc w:val="left"/>
      <w:pPr>
        <w:ind w:left="928" w:hanging="360"/>
      </w:pPr>
      <w:rPr>
        <w:rFonts w:ascii="Calibri" w:eastAsia="Calibri" w:hAnsi="Calibri" w:cs="Calibri"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62452D6B"/>
    <w:multiLevelType w:val="hybridMultilevel"/>
    <w:tmpl w:val="AA6C5E66"/>
    <w:lvl w:ilvl="0" w:tplc="D224285C">
      <w:start w:val="1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54D01DE"/>
    <w:multiLevelType w:val="hybridMultilevel"/>
    <w:tmpl w:val="7EDE9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677545"/>
    <w:multiLevelType w:val="hybridMultilevel"/>
    <w:tmpl w:val="2E1A0E50"/>
    <w:lvl w:ilvl="0" w:tplc="CC660578">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8D927F8"/>
    <w:multiLevelType w:val="hybridMultilevel"/>
    <w:tmpl w:val="13FE388C"/>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2AD29FE"/>
    <w:multiLevelType w:val="hybridMultilevel"/>
    <w:tmpl w:val="9F9A76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5447FC5"/>
    <w:multiLevelType w:val="hybridMultilevel"/>
    <w:tmpl w:val="81761BD2"/>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8"/>
  </w:num>
  <w:num w:numId="6">
    <w:abstractNumId w:val="13"/>
  </w:num>
  <w:num w:numId="7">
    <w:abstractNumId w:val="6"/>
  </w:num>
  <w:num w:numId="8">
    <w:abstractNumId w:val="11"/>
  </w:num>
  <w:num w:numId="9">
    <w:abstractNumId w:val="27"/>
  </w:num>
  <w:num w:numId="10">
    <w:abstractNumId w:val="19"/>
  </w:num>
  <w:num w:numId="11">
    <w:abstractNumId w:val="26"/>
  </w:num>
  <w:num w:numId="12">
    <w:abstractNumId w:val="15"/>
  </w:num>
  <w:num w:numId="13">
    <w:abstractNumId w:val="21"/>
  </w:num>
  <w:num w:numId="14">
    <w:abstractNumId w:val="5"/>
  </w:num>
  <w:num w:numId="15">
    <w:abstractNumId w:val="24"/>
  </w:num>
  <w:num w:numId="16">
    <w:abstractNumId w:val="29"/>
  </w:num>
  <w:num w:numId="17">
    <w:abstractNumId w:val="4"/>
  </w:num>
  <w:num w:numId="18">
    <w:abstractNumId w:val="23"/>
  </w:num>
  <w:num w:numId="19">
    <w:abstractNumId w:val="7"/>
  </w:num>
  <w:num w:numId="20">
    <w:abstractNumId w:val="16"/>
  </w:num>
  <w:num w:numId="21">
    <w:abstractNumId w:val="9"/>
  </w:num>
  <w:num w:numId="22">
    <w:abstractNumId w:val="10"/>
  </w:num>
  <w:num w:numId="23">
    <w:abstractNumId w:val="14"/>
  </w:num>
  <w:num w:numId="24">
    <w:abstractNumId w:val="25"/>
  </w:num>
  <w:num w:numId="25">
    <w:abstractNumId w:val="22"/>
  </w:num>
  <w:num w:numId="26">
    <w:abstractNumId w:val="18"/>
  </w:num>
  <w:num w:numId="27">
    <w:abstractNumId w:val="20"/>
  </w:num>
  <w:num w:numId="28">
    <w:abstractNumId w:val="12"/>
    <w:lvlOverride w:ilvl="0">
      <w:lvl w:ilvl="0" w:tplc="64EE9160">
        <w:start w:val="1"/>
        <w:numFmt w:val="decimal"/>
        <w:lvlText w:val="%1."/>
        <w:lvlJc w:val="left"/>
        <w:pPr>
          <w:ind w:left="432" w:hanging="1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9103F04">
        <w:start w:val="1"/>
        <w:numFmt w:val="decimal"/>
        <w:lvlText w:val="%2."/>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8F86216">
        <w:start w:val="1"/>
        <w:numFmt w:val="decimal"/>
        <w:lvlText w:val="%2.%3."/>
        <w:lvlJc w:val="left"/>
        <w:pPr>
          <w:ind w:left="708"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284721A">
        <w:start w:val="1"/>
        <w:numFmt w:val="decimal"/>
        <w:lvlText w:val="%2.%3.%4."/>
        <w:lvlJc w:val="left"/>
        <w:pPr>
          <w:ind w:left="1416"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950A6E0">
        <w:start w:val="1"/>
        <w:numFmt w:val="decimal"/>
        <w:lvlText w:val="%2.%3.%4.%5."/>
        <w:lvlJc w:val="left"/>
        <w:pPr>
          <w:ind w:left="1416"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F6C3E3C">
        <w:start w:val="1"/>
        <w:numFmt w:val="decimal"/>
        <w:lvlText w:val="%2.%3.%4.%5.%6."/>
        <w:lvlJc w:val="left"/>
        <w:pPr>
          <w:ind w:left="2124"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75E0192">
        <w:start w:val="1"/>
        <w:numFmt w:val="decimal"/>
        <w:lvlText w:val="%2.%3.%4.%5.%6.%7."/>
        <w:lvlJc w:val="left"/>
        <w:pPr>
          <w:ind w:left="2124"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C66AF94">
        <w:start w:val="1"/>
        <w:numFmt w:val="decimal"/>
        <w:lvlText w:val="%2.%3.%4.%5.%6.%7.%8."/>
        <w:lvlJc w:val="left"/>
        <w:pPr>
          <w:ind w:left="2124" w:hanging="1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9DC0CDA">
        <w:start w:val="1"/>
        <w:numFmt w:val="decimal"/>
        <w:lvlText w:val="%2.%3.%4.%5.%6.%7.%8.%9."/>
        <w:lvlJc w:val="left"/>
        <w:pPr>
          <w:ind w:left="2832"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9">
    <w:abstractNumId w:val="8"/>
  </w:num>
  <w:num w:numId="30">
    <w:abstractNumId w:val="3"/>
    <w:lvlOverride w:ilvl="0">
      <w:lvl w:ilvl="0" w:tplc="DE88CB6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1A594C">
        <w:start w:val="1"/>
        <w:numFmt w:val="bullet"/>
        <w:lvlText w:val="o"/>
        <w:lvlJc w:val="left"/>
        <w:pPr>
          <w:tabs>
            <w:tab w:val="left" w:pos="993"/>
            <w:tab w:val="num" w:pos="1689"/>
          </w:tabs>
          <w:ind w:left="1416" w:hanging="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9EA504">
        <w:start w:val="1"/>
        <w:numFmt w:val="bullet"/>
        <w:lvlText w:val="▪"/>
        <w:lvlJc w:val="left"/>
        <w:pPr>
          <w:tabs>
            <w:tab w:val="left" w:pos="993"/>
            <w:tab w:val="num" w:pos="2397"/>
          </w:tabs>
          <w:ind w:left="2124" w:hanging="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F74AF52">
        <w:start w:val="1"/>
        <w:numFmt w:val="bullet"/>
        <w:lvlText w:val="•"/>
        <w:lvlJc w:val="left"/>
        <w:pPr>
          <w:tabs>
            <w:tab w:val="left" w:pos="993"/>
            <w:tab w:val="num" w:pos="3105"/>
          </w:tabs>
          <w:ind w:left="2832" w:hanging="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A04232">
        <w:start w:val="1"/>
        <w:numFmt w:val="bullet"/>
        <w:lvlText w:val="o"/>
        <w:lvlJc w:val="left"/>
        <w:pPr>
          <w:tabs>
            <w:tab w:val="left" w:pos="993"/>
            <w:tab w:val="num" w:pos="3813"/>
          </w:tabs>
          <w:ind w:left="3540" w:hanging="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FCC68A">
        <w:start w:val="1"/>
        <w:numFmt w:val="bullet"/>
        <w:lvlText w:val="▪"/>
        <w:lvlJc w:val="left"/>
        <w:pPr>
          <w:tabs>
            <w:tab w:val="left" w:pos="993"/>
            <w:tab w:val="num" w:pos="4521"/>
          </w:tabs>
          <w:ind w:left="4248" w:hanging="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369A5C">
        <w:start w:val="1"/>
        <w:numFmt w:val="bullet"/>
        <w:lvlText w:val="•"/>
        <w:lvlJc w:val="left"/>
        <w:pPr>
          <w:tabs>
            <w:tab w:val="left" w:pos="993"/>
            <w:tab w:val="num" w:pos="5229"/>
          </w:tabs>
          <w:ind w:left="4956" w:hanging="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244968">
        <w:start w:val="1"/>
        <w:numFmt w:val="bullet"/>
        <w:lvlText w:val="o"/>
        <w:lvlJc w:val="left"/>
        <w:pPr>
          <w:tabs>
            <w:tab w:val="left" w:pos="993"/>
            <w:tab w:val="num" w:pos="5937"/>
          </w:tabs>
          <w:ind w:left="5664" w:firstLine="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9C496F2">
        <w:start w:val="1"/>
        <w:numFmt w:val="bullet"/>
        <w:lvlText w:val="▪"/>
        <w:lvlJc w:val="left"/>
        <w:pPr>
          <w:tabs>
            <w:tab w:val="left" w:pos="993"/>
            <w:tab w:val="num" w:pos="6645"/>
          </w:tabs>
          <w:ind w:left="6372" w:firstLine="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E3"/>
    <w:rsid w:val="00037F04"/>
    <w:rsid w:val="000434DB"/>
    <w:rsid w:val="00045DB6"/>
    <w:rsid w:val="00065166"/>
    <w:rsid w:val="0007606A"/>
    <w:rsid w:val="000A05FD"/>
    <w:rsid w:val="000A5DFB"/>
    <w:rsid w:val="000A6BA1"/>
    <w:rsid w:val="000C34E0"/>
    <w:rsid w:val="000D53C7"/>
    <w:rsid w:val="000E7A8D"/>
    <w:rsid w:val="000F4993"/>
    <w:rsid w:val="00117245"/>
    <w:rsid w:val="00126BC0"/>
    <w:rsid w:val="00132E1E"/>
    <w:rsid w:val="00136190"/>
    <w:rsid w:val="00136E5E"/>
    <w:rsid w:val="00146046"/>
    <w:rsid w:val="00146D69"/>
    <w:rsid w:val="00152821"/>
    <w:rsid w:val="00163795"/>
    <w:rsid w:val="00164548"/>
    <w:rsid w:val="00174AFC"/>
    <w:rsid w:val="0018055D"/>
    <w:rsid w:val="001819D9"/>
    <w:rsid w:val="0018329C"/>
    <w:rsid w:val="001A3937"/>
    <w:rsid w:val="001A54D2"/>
    <w:rsid w:val="001B5FC8"/>
    <w:rsid w:val="001C32B1"/>
    <w:rsid w:val="001E75D8"/>
    <w:rsid w:val="002057BD"/>
    <w:rsid w:val="00207DEB"/>
    <w:rsid w:val="00233AFE"/>
    <w:rsid w:val="00237D43"/>
    <w:rsid w:val="00240C57"/>
    <w:rsid w:val="00250E8B"/>
    <w:rsid w:val="00262399"/>
    <w:rsid w:val="00263305"/>
    <w:rsid w:val="00263705"/>
    <w:rsid w:val="002640C7"/>
    <w:rsid w:val="00271B44"/>
    <w:rsid w:val="0027637C"/>
    <w:rsid w:val="0028197C"/>
    <w:rsid w:val="002A39AC"/>
    <w:rsid w:val="002B2B82"/>
    <w:rsid w:val="002B35BF"/>
    <w:rsid w:val="002B3722"/>
    <w:rsid w:val="002C6001"/>
    <w:rsid w:val="002D0BC4"/>
    <w:rsid w:val="002D3D52"/>
    <w:rsid w:val="002E75C6"/>
    <w:rsid w:val="002F3529"/>
    <w:rsid w:val="00302092"/>
    <w:rsid w:val="00307089"/>
    <w:rsid w:val="00313A83"/>
    <w:rsid w:val="00321533"/>
    <w:rsid w:val="00332542"/>
    <w:rsid w:val="00334C8C"/>
    <w:rsid w:val="00345DAE"/>
    <w:rsid w:val="00346277"/>
    <w:rsid w:val="00351961"/>
    <w:rsid w:val="00354B60"/>
    <w:rsid w:val="00356E30"/>
    <w:rsid w:val="00357A2C"/>
    <w:rsid w:val="00361D72"/>
    <w:rsid w:val="00362605"/>
    <w:rsid w:val="003658BC"/>
    <w:rsid w:val="0037009C"/>
    <w:rsid w:val="003717AB"/>
    <w:rsid w:val="00383AE5"/>
    <w:rsid w:val="003A4FDB"/>
    <w:rsid w:val="003A6E64"/>
    <w:rsid w:val="003C458D"/>
    <w:rsid w:val="003D5807"/>
    <w:rsid w:val="003E3F32"/>
    <w:rsid w:val="004047BD"/>
    <w:rsid w:val="00404857"/>
    <w:rsid w:val="00412DEB"/>
    <w:rsid w:val="004215C7"/>
    <w:rsid w:val="00422A49"/>
    <w:rsid w:val="00423390"/>
    <w:rsid w:val="00423518"/>
    <w:rsid w:val="00433045"/>
    <w:rsid w:val="00436286"/>
    <w:rsid w:val="004374FB"/>
    <w:rsid w:val="004453E6"/>
    <w:rsid w:val="004612AF"/>
    <w:rsid w:val="00473142"/>
    <w:rsid w:val="0047398D"/>
    <w:rsid w:val="004A038F"/>
    <w:rsid w:val="004B40B4"/>
    <w:rsid w:val="004D13D3"/>
    <w:rsid w:val="004D2F84"/>
    <w:rsid w:val="004D34C2"/>
    <w:rsid w:val="004D6D85"/>
    <w:rsid w:val="004D799D"/>
    <w:rsid w:val="004D7D89"/>
    <w:rsid w:val="004E1438"/>
    <w:rsid w:val="004F39F3"/>
    <w:rsid w:val="00501ED7"/>
    <w:rsid w:val="00505F13"/>
    <w:rsid w:val="005105BB"/>
    <w:rsid w:val="00510F7E"/>
    <w:rsid w:val="00515FEF"/>
    <w:rsid w:val="00524549"/>
    <w:rsid w:val="00554064"/>
    <w:rsid w:val="005550A6"/>
    <w:rsid w:val="00556EE4"/>
    <w:rsid w:val="00557F29"/>
    <w:rsid w:val="005619DF"/>
    <w:rsid w:val="005622FD"/>
    <w:rsid w:val="00590228"/>
    <w:rsid w:val="00593EE3"/>
    <w:rsid w:val="005A1695"/>
    <w:rsid w:val="005A5D7F"/>
    <w:rsid w:val="005C0639"/>
    <w:rsid w:val="005C3E08"/>
    <w:rsid w:val="005E203A"/>
    <w:rsid w:val="005E3473"/>
    <w:rsid w:val="005E3E35"/>
    <w:rsid w:val="005E3E6A"/>
    <w:rsid w:val="005E7C10"/>
    <w:rsid w:val="005F18CB"/>
    <w:rsid w:val="005F32EE"/>
    <w:rsid w:val="00600B76"/>
    <w:rsid w:val="00602D77"/>
    <w:rsid w:val="00612817"/>
    <w:rsid w:val="00614923"/>
    <w:rsid w:val="0061535E"/>
    <w:rsid w:val="006220EA"/>
    <w:rsid w:val="006262CF"/>
    <w:rsid w:val="00634CFF"/>
    <w:rsid w:val="00635D11"/>
    <w:rsid w:val="006407C8"/>
    <w:rsid w:val="00641C93"/>
    <w:rsid w:val="006443D5"/>
    <w:rsid w:val="0066536E"/>
    <w:rsid w:val="00666497"/>
    <w:rsid w:val="0067215D"/>
    <w:rsid w:val="0068734C"/>
    <w:rsid w:val="00692C73"/>
    <w:rsid w:val="006943C0"/>
    <w:rsid w:val="00696F2C"/>
    <w:rsid w:val="006A3E59"/>
    <w:rsid w:val="006A67FD"/>
    <w:rsid w:val="006B7A74"/>
    <w:rsid w:val="006C0512"/>
    <w:rsid w:val="006C2F4A"/>
    <w:rsid w:val="006D3463"/>
    <w:rsid w:val="006E03FC"/>
    <w:rsid w:val="006E35A7"/>
    <w:rsid w:val="00704F8B"/>
    <w:rsid w:val="00732B17"/>
    <w:rsid w:val="00736087"/>
    <w:rsid w:val="00751FED"/>
    <w:rsid w:val="00752010"/>
    <w:rsid w:val="00752F2A"/>
    <w:rsid w:val="007567BB"/>
    <w:rsid w:val="00761A08"/>
    <w:rsid w:val="00765B27"/>
    <w:rsid w:val="0077669A"/>
    <w:rsid w:val="00781887"/>
    <w:rsid w:val="00782C9C"/>
    <w:rsid w:val="00784052"/>
    <w:rsid w:val="007A20B9"/>
    <w:rsid w:val="007B3C81"/>
    <w:rsid w:val="007B3ED8"/>
    <w:rsid w:val="007D6B90"/>
    <w:rsid w:val="007D7D07"/>
    <w:rsid w:val="007E0089"/>
    <w:rsid w:val="007E0926"/>
    <w:rsid w:val="007E112F"/>
    <w:rsid w:val="00802D5A"/>
    <w:rsid w:val="00811E27"/>
    <w:rsid w:val="0081512C"/>
    <w:rsid w:val="00823CD0"/>
    <w:rsid w:val="00826178"/>
    <w:rsid w:val="00843D1D"/>
    <w:rsid w:val="008501CF"/>
    <w:rsid w:val="00851BCB"/>
    <w:rsid w:val="00852DD9"/>
    <w:rsid w:val="0085440C"/>
    <w:rsid w:val="00873003"/>
    <w:rsid w:val="00882374"/>
    <w:rsid w:val="00884280"/>
    <w:rsid w:val="0089260A"/>
    <w:rsid w:val="008B36FD"/>
    <w:rsid w:val="008B3BD8"/>
    <w:rsid w:val="008B4B7C"/>
    <w:rsid w:val="008D48D0"/>
    <w:rsid w:val="008F1F21"/>
    <w:rsid w:val="008F2082"/>
    <w:rsid w:val="008F2A7D"/>
    <w:rsid w:val="008F6E10"/>
    <w:rsid w:val="009065DA"/>
    <w:rsid w:val="009072C3"/>
    <w:rsid w:val="00907E89"/>
    <w:rsid w:val="0092209A"/>
    <w:rsid w:val="0092251B"/>
    <w:rsid w:val="00926E5F"/>
    <w:rsid w:val="00927D88"/>
    <w:rsid w:val="00933D59"/>
    <w:rsid w:val="0097153E"/>
    <w:rsid w:val="00992B5A"/>
    <w:rsid w:val="00995F85"/>
    <w:rsid w:val="009A50FD"/>
    <w:rsid w:val="009A77D4"/>
    <w:rsid w:val="009C0DE1"/>
    <w:rsid w:val="009C251F"/>
    <w:rsid w:val="009D2034"/>
    <w:rsid w:val="009E61CC"/>
    <w:rsid w:val="009E7E04"/>
    <w:rsid w:val="009F00C4"/>
    <w:rsid w:val="009F2585"/>
    <w:rsid w:val="009F788F"/>
    <w:rsid w:val="00A15790"/>
    <w:rsid w:val="00A16D8E"/>
    <w:rsid w:val="00A16E92"/>
    <w:rsid w:val="00A17F66"/>
    <w:rsid w:val="00A22A1A"/>
    <w:rsid w:val="00A2400B"/>
    <w:rsid w:val="00A42293"/>
    <w:rsid w:val="00A70177"/>
    <w:rsid w:val="00A80A18"/>
    <w:rsid w:val="00AA5BBE"/>
    <w:rsid w:val="00AB4670"/>
    <w:rsid w:val="00AF0073"/>
    <w:rsid w:val="00AF6EC8"/>
    <w:rsid w:val="00B04CE4"/>
    <w:rsid w:val="00B116BB"/>
    <w:rsid w:val="00B16F28"/>
    <w:rsid w:val="00B17AE1"/>
    <w:rsid w:val="00B21102"/>
    <w:rsid w:val="00B26A8B"/>
    <w:rsid w:val="00B337C7"/>
    <w:rsid w:val="00B35D0F"/>
    <w:rsid w:val="00B50318"/>
    <w:rsid w:val="00B56F88"/>
    <w:rsid w:val="00B61E1D"/>
    <w:rsid w:val="00B82C44"/>
    <w:rsid w:val="00B914A8"/>
    <w:rsid w:val="00B978BE"/>
    <w:rsid w:val="00BA0C44"/>
    <w:rsid w:val="00BD22F6"/>
    <w:rsid w:val="00BD3AF5"/>
    <w:rsid w:val="00BD4CE2"/>
    <w:rsid w:val="00BD5862"/>
    <w:rsid w:val="00BE25C1"/>
    <w:rsid w:val="00BE64D7"/>
    <w:rsid w:val="00BF41F5"/>
    <w:rsid w:val="00BF5CDB"/>
    <w:rsid w:val="00C00774"/>
    <w:rsid w:val="00C04D4C"/>
    <w:rsid w:val="00C068EB"/>
    <w:rsid w:val="00C12440"/>
    <w:rsid w:val="00C15050"/>
    <w:rsid w:val="00C31236"/>
    <w:rsid w:val="00C408DF"/>
    <w:rsid w:val="00C465A9"/>
    <w:rsid w:val="00C50B25"/>
    <w:rsid w:val="00C51B4B"/>
    <w:rsid w:val="00C52F62"/>
    <w:rsid w:val="00C539D8"/>
    <w:rsid w:val="00C56EBE"/>
    <w:rsid w:val="00C73A96"/>
    <w:rsid w:val="00C74925"/>
    <w:rsid w:val="00C775E9"/>
    <w:rsid w:val="00C86946"/>
    <w:rsid w:val="00C9114A"/>
    <w:rsid w:val="00CA2F1F"/>
    <w:rsid w:val="00CA77B6"/>
    <w:rsid w:val="00CA7B37"/>
    <w:rsid w:val="00CB1A3E"/>
    <w:rsid w:val="00CB7E98"/>
    <w:rsid w:val="00CC6A74"/>
    <w:rsid w:val="00CC7C69"/>
    <w:rsid w:val="00CD11CC"/>
    <w:rsid w:val="00CD6512"/>
    <w:rsid w:val="00CD70EF"/>
    <w:rsid w:val="00CE100C"/>
    <w:rsid w:val="00CE26FA"/>
    <w:rsid w:val="00CF2AAD"/>
    <w:rsid w:val="00CF749F"/>
    <w:rsid w:val="00D075AE"/>
    <w:rsid w:val="00D112E5"/>
    <w:rsid w:val="00D13831"/>
    <w:rsid w:val="00D160B9"/>
    <w:rsid w:val="00D3155B"/>
    <w:rsid w:val="00D35A8C"/>
    <w:rsid w:val="00D3644C"/>
    <w:rsid w:val="00D409D2"/>
    <w:rsid w:val="00D411D1"/>
    <w:rsid w:val="00D45D0F"/>
    <w:rsid w:val="00D50DB5"/>
    <w:rsid w:val="00D5602E"/>
    <w:rsid w:val="00D61F79"/>
    <w:rsid w:val="00D83064"/>
    <w:rsid w:val="00D8521F"/>
    <w:rsid w:val="00D86CAA"/>
    <w:rsid w:val="00D91900"/>
    <w:rsid w:val="00DA7E03"/>
    <w:rsid w:val="00DF4373"/>
    <w:rsid w:val="00DF53C9"/>
    <w:rsid w:val="00E0313C"/>
    <w:rsid w:val="00E03243"/>
    <w:rsid w:val="00E04FE6"/>
    <w:rsid w:val="00E05ACC"/>
    <w:rsid w:val="00E119FD"/>
    <w:rsid w:val="00E34803"/>
    <w:rsid w:val="00E508C6"/>
    <w:rsid w:val="00E71A27"/>
    <w:rsid w:val="00E72505"/>
    <w:rsid w:val="00E820BB"/>
    <w:rsid w:val="00E938E3"/>
    <w:rsid w:val="00EA59DD"/>
    <w:rsid w:val="00EB5287"/>
    <w:rsid w:val="00EC13FA"/>
    <w:rsid w:val="00EC4508"/>
    <w:rsid w:val="00ED0D46"/>
    <w:rsid w:val="00ED5371"/>
    <w:rsid w:val="00EF3CB7"/>
    <w:rsid w:val="00EF4D9A"/>
    <w:rsid w:val="00EF6F67"/>
    <w:rsid w:val="00F03742"/>
    <w:rsid w:val="00F05917"/>
    <w:rsid w:val="00F45B72"/>
    <w:rsid w:val="00F61295"/>
    <w:rsid w:val="00F6344B"/>
    <w:rsid w:val="00F71119"/>
    <w:rsid w:val="00F76AD2"/>
    <w:rsid w:val="00F85FFC"/>
    <w:rsid w:val="00FA7E28"/>
    <w:rsid w:val="00FB153A"/>
    <w:rsid w:val="00FD5C08"/>
    <w:rsid w:val="00FD67DB"/>
    <w:rsid w:val="00FE28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A17D8-B937-4374-8A7F-FD8C386D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639"/>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uiPriority w:val="9"/>
    <w:qFormat/>
    <w:rsid w:val="005C06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5C06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C0639"/>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semiHidden/>
    <w:unhideWhenUsed/>
    <w:qFormat/>
    <w:rsid w:val="005C063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C063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C063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C063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C0639"/>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C06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0639"/>
    <w:rPr>
      <w:rFonts w:asciiTheme="majorHAnsi" w:eastAsiaTheme="majorEastAsia" w:hAnsiTheme="majorHAnsi" w:cstheme="majorBidi"/>
      <w:b/>
      <w:bCs/>
      <w:color w:val="365F91" w:themeColor="accent1" w:themeShade="BF"/>
      <w:sz w:val="28"/>
      <w:szCs w:val="28"/>
      <w:lang w:val="ru-RU" w:eastAsia="zh-CN"/>
    </w:rPr>
  </w:style>
  <w:style w:type="character" w:customStyle="1" w:styleId="21">
    <w:name w:val="Заголовок 2 Знак"/>
    <w:basedOn w:val="a0"/>
    <w:link w:val="20"/>
    <w:uiPriority w:val="9"/>
    <w:semiHidden/>
    <w:rsid w:val="005C0639"/>
    <w:rPr>
      <w:rFonts w:asciiTheme="majorHAnsi" w:eastAsiaTheme="majorEastAsia" w:hAnsiTheme="majorHAnsi" w:cstheme="majorBidi"/>
      <w:b/>
      <w:bCs/>
      <w:color w:val="4F81BD" w:themeColor="accent1"/>
      <w:sz w:val="26"/>
      <w:szCs w:val="26"/>
      <w:lang w:val="ru-RU" w:eastAsia="zh-CN"/>
    </w:rPr>
  </w:style>
  <w:style w:type="character" w:customStyle="1" w:styleId="30">
    <w:name w:val="Заголовок 3 Знак"/>
    <w:basedOn w:val="a0"/>
    <w:link w:val="3"/>
    <w:uiPriority w:val="9"/>
    <w:semiHidden/>
    <w:rsid w:val="005C0639"/>
    <w:rPr>
      <w:rFonts w:asciiTheme="majorHAnsi" w:eastAsiaTheme="majorEastAsia" w:hAnsiTheme="majorHAnsi" w:cstheme="majorBidi"/>
      <w:b/>
      <w:bCs/>
      <w:color w:val="4F81BD" w:themeColor="accent1"/>
      <w:sz w:val="24"/>
      <w:szCs w:val="24"/>
      <w:lang w:val="ru-RU" w:eastAsia="zh-CN"/>
    </w:rPr>
  </w:style>
  <w:style w:type="character" w:customStyle="1" w:styleId="41">
    <w:name w:val="Заголовок 4 Знак"/>
    <w:basedOn w:val="a0"/>
    <w:link w:val="40"/>
    <w:uiPriority w:val="9"/>
    <w:semiHidden/>
    <w:rsid w:val="005C0639"/>
    <w:rPr>
      <w:rFonts w:asciiTheme="majorHAnsi" w:eastAsiaTheme="majorEastAsia" w:hAnsiTheme="majorHAnsi" w:cstheme="majorBidi"/>
      <w:b/>
      <w:bCs/>
      <w:i/>
      <w:iCs/>
      <w:color w:val="4F81BD" w:themeColor="accent1"/>
      <w:sz w:val="24"/>
      <w:szCs w:val="24"/>
      <w:lang w:val="ru-RU" w:eastAsia="zh-CN"/>
    </w:rPr>
  </w:style>
  <w:style w:type="character" w:customStyle="1" w:styleId="50">
    <w:name w:val="Заголовок 5 Знак"/>
    <w:basedOn w:val="a0"/>
    <w:link w:val="5"/>
    <w:uiPriority w:val="9"/>
    <w:semiHidden/>
    <w:rsid w:val="005C0639"/>
    <w:rPr>
      <w:rFonts w:asciiTheme="majorHAnsi" w:eastAsiaTheme="majorEastAsia" w:hAnsiTheme="majorHAnsi" w:cstheme="majorBidi"/>
      <w:color w:val="243F60" w:themeColor="accent1" w:themeShade="7F"/>
      <w:sz w:val="24"/>
      <w:szCs w:val="24"/>
      <w:lang w:val="ru-RU" w:eastAsia="zh-CN"/>
    </w:rPr>
  </w:style>
  <w:style w:type="character" w:customStyle="1" w:styleId="60">
    <w:name w:val="Заголовок 6 Знак"/>
    <w:basedOn w:val="a0"/>
    <w:link w:val="6"/>
    <w:uiPriority w:val="9"/>
    <w:semiHidden/>
    <w:rsid w:val="005C0639"/>
    <w:rPr>
      <w:rFonts w:asciiTheme="majorHAnsi" w:eastAsiaTheme="majorEastAsia" w:hAnsiTheme="majorHAnsi" w:cstheme="majorBidi"/>
      <w:i/>
      <w:iCs/>
      <w:color w:val="243F60" w:themeColor="accent1" w:themeShade="7F"/>
      <w:sz w:val="24"/>
      <w:szCs w:val="24"/>
      <w:lang w:val="ru-RU" w:eastAsia="zh-CN"/>
    </w:rPr>
  </w:style>
  <w:style w:type="character" w:customStyle="1" w:styleId="70">
    <w:name w:val="Заголовок 7 Знак"/>
    <w:basedOn w:val="a0"/>
    <w:link w:val="7"/>
    <w:uiPriority w:val="9"/>
    <w:semiHidden/>
    <w:rsid w:val="005C0639"/>
    <w:rPr>
      <w:rFonts w:asciiTheme="majorHAnsi" w:eastAsiaTheme="majorEastAsia" w:hAnsiTheme="majorHAnsi" w:cstheme="majorBidi"/>
      <w:i/>
      <w:iCs/>
      <w:color w:val="404040" w:themeColor="text1" w:themeTint="BF"/>
      <w:sz w:val="24"/>
      <w:szCs w:val="24"/>
      <w:lang w:val="ru-RU" w:eastAsia="zh-CN"/>
    </w:rPr>
  </w:style>
  <w:style w:type="character" w:customStyle="1" w:styleId="80">
    <w:name w:val="Заголовок 8 Знак"/>
    <w:basedOn w:val="a0"/>
    <w:link w:val="8"/>
    <w:uiPriority w:val="9"/>
    <w:semiHidden/>
    <w:rsid w:val="005C0639"/>
    <w:rPr>
      <w:rFonts w:asciiTheme="majorHAnsi" w:eastAsiaTheme="majorEastAsia" w:hAnsiTheme="majorHAnsi" w:cstheme="majorBidi"/>
      <w:color w:val="4F81BD" w:themeColor="accent1"/>
      <w:sz w:val="20"/>
      <w:szCs w:val="20"/>
      <w:lang w:val="ru-RU" w:eastAsia="zh-CN"/>
    </w:rPr>
  </w:style>
  <w:style w:type="character" w:customStyle="1" w:styleId="90">
    <w:name w:val="Заголовок 9 Знак"/>
    <w:basedOn w:val="a0"/>
    <w:link w:val="9"/>
    <w:uiPriority w:val="9"/>
    <w:semiHidden/>
    <w:rsid w:val="005C0639"/>
    <w:rPr>
      <w:rFonts w:asciiTheme="majorHAnsi" w:eastAsiaTheme="majorEastAsia" w:hAnsiTheme="majorHAnsi" w:cstheme="majorBidi"/>
      <w:i/>
      <w:iCs/>
      <w:color w:val="404040" w:themeColor="text1" w:themeTint="BF"/>
      <w:sz w:val="20"/>
      <w:szCs w:val="20"/>
      <w:lang w:val="ru-RU" w:eastAsia="zh-CN"/>
    </w:rPr>
  </w:style>
  <w:style w:type="paragraph" w:styleId="a3">
    <w:name w:val="Title"/>
    <w:basedOn w:val="a"/>
    <w:next w:val="a"/>
    <w:link w:val="a4"/>
    <w:uiPriority w:val="10"/>
    <w:qFormat/>
    <w:rsid w:val="005C06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C0639"/>
    <w:rPr>
      <w:rFonts w:asciiTheme="majorHAnsi" w:eastAsiaTheme="majorEastAsia" w:hAnsiTheme="majorHAnsi" w:cstheme="majorBidi"/>
      <w:color w:val="17365D" w:themeColor="text2" w:themeShade="BF"/>
      <w:spacing w:val="5"/>
      <w:kern w:val="28"/>
      <w:sz w:val="52"/>
      <w:szCs w:val="52"/>
      <w:lang w:val="ru-RU" w:eastAsia="zh-CN"/>
    </w:rPr>
  </w:style>
  <w:style w:type="paragraph" w:styleId="a5">
    <w:name w:val="Subtitle"/>
    <w:basedOn w:val="a"/>
    <w:next w:val="a"/>
    <w:link w:val="a6"/>
    <w:qFormat/>
    <w:rsid w:val="005C0639"/>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rsid w:val="005C0639"/>
    <w:rPr>
      <w:rFonts w:asciiTheme="majorHAnsi" w:eastAsiaTheme="majorEastAsia" w:hAnsiTheme="majorHAnsi" w:cstheme="majorBidi"/>
      <w:i/>
      <w:iCs/>
      <w:color w:val="4F81BD" w:themeColor="accent1"/>
      <w:spacing w:val="15"/>
      <w:sz w:val="24"/>
      <w:szCs w:val="24"/>
      <w:lang w:val="ru-RU" w:eastAsia="zh-CN"/>
    </w:rPr>
  </w:style>
  <w:style w:type="character" w:styleId="a7">
    <w:name w:val="Strong"/>
    <w:basedOn w:val="a0"/>
    <w:uiPriority w:val="22"/>
    <w:qFormat/>
    <w:rsid w:val="005C0639"/>
    <w:rPr>
      <w:b/>
      <w:bCs/>
    </w:rPr>
  </w:style>
  <w:style w:type="character" w:styleId="a8">
    <w:name w:val="Emphasis"/>
    <w:basedOn w:val="a0"/>
    <w:qFormat/>
    <w:rsid w:val="005C0639"/>
    <w:rPr>
      <w:i/>
      <w:iCs/>
    </w:rPr>
  </w:style>
  <w:style w:type="paragraph" w:styleId="a9">
    <w:name w:val="No Spacing"/>
    <w:link w:val="aa"/>
    <w:uiPriority w:val="1"/>
    <w:qFormat/>
    <w:rsid w:val="005C0639"/>
    <w:pPr>
      <w:spacing w:after="0" w:line="240" w:lineRule="auto"/>
    </w:pPr>
    <w:rPr>
      <w:lang w:val="en-US" w:bidi="en-US"/>
    </w:rPr>
  </w:style>
  <w:style w:type="paragraph" w:styleId="ab">
    <w:name w:val="List Paragraph"/>
    <w:basedOn w:val="a"/>
    <w:uiPriority w:val="34"/>
    <w:qFormat/>
    <w:rsid w:val="005C0639"/>
    <w:pPr>
      <w:ind w:left="720"/>
      <w:contextualSpacing/>
    </w:pPr>
  </w:style>
  <w:style w:type="paragraph" w:styleId="22">
    <w:name w:val="Quote"/>
    <w:basedOn w:val="a"/>
    <w:next w:val="a"/>
    <w:link w:val="23"/>
    <w:uiPriority w:val="29"/>
    <w:qFormat/>
    <w:rsid w:val="005C0639"/>
    <w:rPr>
      <w:i/>
      <w:iCs/>
      <w:color w:val="000000" w:themeColor="text1"/>
    </w:rPr>
  </w:style>
  <w:style w:type="character" w:customStyle="1" w:styleId="23">
    <w:name w:val="Цитата 2 Знак"/>
    <w:basedOn w:val="a0"/>
    <w:link w:val="22"/>
    <w:uiPriority w:val="29"/>
    <w:rsid w:val="005C0639"/>
    <w:rPr>
      <w:rFonts w:ascii="Times New Roman" w:eastAsia="Times New Roman" w:hAnsi="Times New Roman" w:cs="Times New Roman"/>
      <w:i/>
      <w:iCs/>
      <w:color w:val="000000" w:themeColor="text1"/>
      <w:sz w:val="24"/>
      <w:szCs w:val="24"/>
      <w:lang w:val="ru-RU" w:eastAsia="zh-CN"/>
    </w:rPr>
  </w:style>
  <w:style w:type="paragraph" w:styleId="ac">
    <w:name w:val="Intense Quote"/>
    <w:basedOn w:val="a"/>
    <w:next w:val="a"/>
    <w:link w:val="ad"/>
    <w:uiPriority w:val="30"/>
    <w:qFormat/>
    <w:rsid w:val="005C063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C0639"/>
    <w:rPr>
      <w:rFonts w:ascii="Times New Roman" w:eastAsia="Times New Roman" w:hAnsi="Times New Roman" w:cs="Times New Roman"/>
      <w:b/>
      <w:bCs/>
      <w:i/>
      <w:iCs/>
      <w:color w:val="4F81BD" w:themeColor="accent1"/>
      <w:sz w:val="24"/>
      <w:szCs w:val="24"/>
      <w:lang w:val="ru-RU" w:eastAsia="zh-CN"/>
    </w:rPr>
  </w:style>
  <w:style w:type="character" w:styleId="ae">
    <w:name w:val="Subtle Emphasis"/>
    <w:basedOn w:val="a0"/>
    <w:uiPriority w:val="19"/>
    <w:qFormat/>
    <w:rsid w:val="005C0639"/>
    <w:rPr>
      <w:i/>
      <w:iCs/>
      <w:color w:val="808080" w:themeColor="text1" w:themeTint="7F"/>
    </w:rPr>
  </w:style>
  <w:style w:type="character" w:styleId="af">
    <w:name w:val="Intense Emphasis"/>
    <w:basedOn w:val="a0"/>
    <w:uiPriority w:val="21"/>
    <w:qFormat/>
    <w:rsid w:val="005C0639"/>
    <w:rPr>
      <w:b/>
      <w:bCs/>
      <w:i/>
      <w:iCs/>
      <w:color w:val="4F81BD" w:themeColor="accent1"/>
    </w:rPr>
  </w:style>
  <w:style w:type="character" w:styleId="af0">
    <w:name w:val="Subtle Reference"/>
    <w:basedOn w:val="a0"/>
    <w:uiPriority w:val="31"/>
    <w:qFormat/>
    <w:rsid w:val="005C0639"/>
    <w:rPr>
      <w:smallCaps/>
      <w:color w:val="C0504D" w:themeColor="accent2"/>
      <w:u w:val="single"/>
    </w:rPr>
  </w:style>
  <w:style w:type="character" w:styleId="af1">
    <w:name w:val="Intense Reference"/>
    <w:basedOn w:val="a0"/>
    <w:uiPriority w:val="32"/>
    <w:qFormat/>
    <w:rsid w:val="005C0639"/>
    <w:rPr>
      <w:b/>
      <w:bCs/>
      <w:smallCaps/>
      <w:color w:val="C0504D" w:themeColor="accent2"/>
      <w:spacing w:val="5"/>
      <w:u w:val="single"/>
    </w:rPr>
  </w:style>
  <w:style w:type="character" w:styleId="af2">
    <w:name w:val="Book Title"/>
    <w:basedOn w:val="a0"/>
    <w:uiPriority w:val="33"/>
    <w:qFormat/>
    <w:rsid w:val="005C0639"/>
    <w:rPr>
      <w:b/>
      <w:bCs/>
      <w:smallCaps/>
      <w:spacing w:val="5"/>
    </w:rPr>
  </w:style>
  <w:style w:type="paragraph" w:styleId="af3">
    <w:name w:val="Normal (Web)"/>
    <w:basedOn w:val="a"/>
    <w:uiPriority w:val="99"/>
    <w:unhideWhenUsed/>
    <w:rsid w:val="005C0639"/>
    <w:pPr>
      <w:spacing w:before="280" w:after="280"/>
    </w:pPr>
    <w:rPr>
      <w:lang w:eastAsia="ar-SA"/>
    </w:rPr>
  </w:style>
  <w:style w:type="paragraph" w:styleId="af4">
    <w:name w:val="Body Text"/>
    <w:basedOn w:val="a"/>
    <w:link w:val="11"/>
    <w:uiPriority w:val="99"/>
    <w:unhideWhenUsed/>
    <w:rsid w:val="005C0639"/>
    <w:pPr>
      <w:spacing w:before="120"/>
    </w:pPr>
    <w:rPr>
      <w:rFonts w:ascii="NTTimes/Cyrillic" w:eastAsiaTheme="minorHAnsi" w:hAnsi="NTTimes/Cyrillic" w:cstheme="minorBidi"/>
      <w:color w:val="000000"/>
      <w:szCs w:val="22"/>
      <w:lang w:val="en-US" w:eastAsia="ar-SA" w:bidi="en-US"/>
    </w:rPr>
  </w:style>
  <w:style w:type="character" w:customStyle="1" w:styleId="11">
    <w:name w:val="Основной текст Знак1"/>
    <w:basedOn w:val="a0"/>
    <w:link w:val="af4"/>
    <w:locked/>
    <w:rsid w:val="005C0639"/>
    <w:rPr>
      <w:rFonts w:ascii="NTTimes/Cyrillic" w:hAnsi="NTTimes/Cyrillic"/>
      <w:color w:val="000000"/>
      <w:sz w:val="24"/>
      <w:lang w:val="en-US" w:eastAsia="ar-SA" w:bidi="en-US"/>
    </w:rPr>
  </w:style>
  <w:style w:type="character" w:customStyle="1" w:styleId="af5">
    <w:name w:val="Основной текст Знак"/>
    <w:basedOn w:val="a0"/>
    <w:uiPriority w:val="99"/>
    <w:rsid w:val="005C0639"/>
    <w:rPr>
      <w:rFonts w:ascii="Times New Roman" w:eastAsia="Times New Roman" w:hAnsi="Times New Roman" w:cs="Times New Roman"/>
      <w:sz w:val="24"/>
      <w:szCs w:val="24"/>
      <w:lang w:val="ru-RU" w:eastAsia="zh-CN"/>
    </w:rPr>
  </w:style>
  <w:style w:type="paragraph" w:customStyle="1" w:styleId="WW-DefaultStyle">
    <w:name w:val="WW-Default Style"/>
    <w:rsid w:val="005C0639"/>
    <w:pPr>
      <w:suppressAutoHyphens/>
      <w:autoSpaceDE w:val="0"/>
      <w:spacing w:after="0" w:line="240" w:lineRule="auto"/>
    </w:pPr>
    <w:rPr>
      <w:rFonts w:ascii="Times New Roman" w:eastAsia="Times New Roman" w:hAnsi="Times New Roman" w:cs="Liberation Serif"/>
      <w:kern w:val="2"/>
      <w:sz w:val="24"/>
      <w:szCs w:val="24"/>
      <w:lang w:val="ru-RU" w:eastAsia="zh-CN"/>
    </w:rPr>
  </w:style>
  <w:style w:type="paragraph" w:customStyle="1" w:styleId="FR4">
    <w:name w:val="FR4"/>
    <w:rsid w:val="005C0639"/>
    <w:pPr>
      <w:widowControl w:val="0"/>
      <w:snapToGrid w:val="0"/>
      <w:spacing w:after="0" w:line="300" w:lineRule="auto"/>
      <w:ind w:firstLine="700"/>
      <w:jc w:val="both"/>
    </w:pPr>
    <w:rPr>
      <w:rFonts w:ascii="Arial" w:eastAsia="Times New Roman" w:hAnsi="Arial" w:cs="Times New Roman"/>
      <w:sz w:val="24"/>
      <w:szCs w:val="20"/>
      <w:lang w:eastAsia="ru-RU"/>
    </w:rPr>
  </w:style>
  <w:style w:type="paragraph" w:customStyle="1" w:styleId="Default">
    <w:name w:val="Default"/>
    <w:rsid w:val="005C0639"/>
    <w:pPr>
      <w:suppressAutoHyphens/>
      <w:autoSpaceDE w:val="0"/>
      <w:spacing w:after="0" w:line="240" w:lineRule="auto"/>
    </w:pPr>
    <w:rPr>
      <w:rFonts w:ascii="Times New Roman" w:eastAsia="Calibri" w:hAnsi="Times New Roman" w:cs="Times New Roman"/>
      <w:color w:val="000000"/>
      <w:sz w:val="24"/>
      <w:szCs w:val="24"/>
      <w:lang w:val="ru-RU" w:eastAsia="ar-SA"/>
    </w:rPr>
  </w:style>
  <w:style w:type="paragraph" w:customStyle="1" w:styleId="31">
    <w:name w:val="Заголовок №31"/>
    <w:basedOn w:val="a"/>
    <w:semiHidden/>
    <w:rsid w:val="005C0639"/>
    <w:pPr>
      <w:shd w:val="clear" w:color="auto" w:fill="FFFFFF"/>
      <w:spacing w:before="540" w:line="365" w:lineRule="exact"/>
    </w:pPr>
    <w:rPr>
      <w:rFonts w:ascii="Arial" w:hAnsi="Arial" w:cs="Arial"/>
      <w:b/>
      <w:bCs/>
      <w:sz w:val="16"/>
      <w:szCs w:val="16"/>
      <w:lang w:eastAsia="ar-SA"/>
    </w:rPr>
  </w:style>
  <w:style w:type="paragraph" w:customStyle="1" w:styleId="af6">
    <w:name w:val="Содержимое таблицы"/>
    <w:basedOn w:val="a"/>
    <w:semiHidden/>
    <w:rsid w:val="005C0639"/>
    <w:pPr>
      <w:widowControl w:val="0"/>
      <w:suppressLineNumbers/>
    </w:pPr>
    <w:rPr>
      <w:w w:val="80"/>
      <w:lang w:val="uk-UA" w:eastAsia="ar-SA"/>
    </w:rPr>
  </w:style>
  <w:style w:type="paragraph" w:styleId="af7">
    <w:name w:val="header"/>
    <w:basedOn w:val="a"/>
    <w:link w:val="af8"/>
    <w:uiPriority w:val="99"/>
    <w:unhideWhenUsed/>
    <w:rsid w:val="005C0639"/>
    <w:pPr>
      <w:tabs>
        <w:tab w:val="center" w:pos="4677"/>
        <w:tab w:val="right" w:pos="9355"/>
      </w:tabs>
    </w:pPr>
  </w:style>
  <w:style w:type="character" w:customStyle="1" w:styleId="af8">
    <w:name w:val="Верхний колонтитул Знак"/>
    <w:basedOn w:val="a0"/>
    <w:link w:val="af7"/>
    <w:uiPriority w:val="99"/>
    <w:rsid w:val="005C0639"/>
    <w:rPr>
      <w:rFonts w:ascii="Times New Roman" w:eastAsia="Times New Roman" w:hAnsi="Times New Roman" w:cs="Times New Roman"/>
      <w:sz w:val="24"/>
      <w:szCs w:val="24"/>
      <w:lang w:val="ru-RU" w:eastAsia="zh-CN"/>
    </w:rPr>
  </w:style>
  <w:style w:type="paragraph" w:styleId="af9">
    <w:name w:val="Balloon Text"/>
    <w:basedOn w:val="a"/>
    <w:link w:val="afa"/>
    <w:uiPriority w:val="99"/>
    <w:semiHidden/>
    <w:unhideWhenUsed/>
    <w:rsid w:val="005C0639"/>
    <w:rPr>
      <w:rFonts w:ascii="Tahoma" w:hAnsi="Tahoma" w:cs="Tahoma"/>
      <w:sz w:val="16"/>
      <w:szCs w:val="16"/>
    </w:rPr>
  </w:style>
  <w:style w:type="character" w:customStyle="1" w:styleId="afa">
    <w:name w:val="Текст выноски Знак"/>
    <w:basedOn w:val="a0"/>
    <w:link w:val="af9"/>
    <w:uiPriority w:val="99"/>
    <w:semiHidden/>
    <w:rsid w:val="005C0639"/>
    <w:rPr>
      <w:rFonts w:ascii="Tahoma" w:eastAsia="Times New Roman" w:hAnsi="Tahoma" w:cs="Tahoma"/>
      <w:sz w:val="16"/>
      <w:szCs w:val="16"/>
      <w:lang w:val="ru-RU" w:eastAsia="zh-CN"/>
    </w:rPr>
  </w:style>
  <w:style w:type="character" w:customStyle="1" w:styleId="afb">
    <w:name w:val="Нижний колонтитул Знак"/>
    <w:basedOn w:val="a0"/>
    <w:link w:val="afc"/>
    <w:uiPriority w:val="99"/>
    <w:rsid w:val="005C0639"/>
    <w:rPr>
      <w:rFonts w:ascii="Times New Roman" w:eastAsia="Times New Roman" w:hAnsi="Times New Roman" w:cs="Times New Roman"/>
      <w:sz w:val="24"/>
      <w:szCs w:val="24"/>
      <w:lang w:val="ru-RU" w:eastAsia="zh-CN"/>
    </w:rPr>
  </w:style>
  <w:style w:type="paragraph" w:styleId="afc">
    <w:name w:val="footer"/>
    <w:basedOn w:val="a"/>
    <w:link w:val="afb"/>
    <w:uiPriority w:val="99"/>
    <w:unhideWhenUsed/>
    <w:rsid w:val="005C0639"/>
    <w:pPr>
      <w:tabs>
        <w:tab w:val="center" w:pos="4677"/>
        <w:tab w:val="right" w:pos="9355"/>
      </w:tabs>
    </w:pPr>
  </w:style>
  <w:style w:type="paragraph" w:styleId="24">
    <w:name w:val="Body Text Indent 2"/>
    <w:basedOn w:val="a"/>
    <w:link w:val="25"/>
    <w:uiPriority w:val="99"/>
    <w:unhideWhenUsed/>
    <w:rsid w:val="007D6B90"/>
    <w:pPr>
      <w:spacing w:after="120" w:line="480" w:lineRule="auto"/>
      <w:ind w:left="283"/>
    </w:pPr>
  </w:style>
  <w:style w:type="character" w:customStyle="1" w:styleId="25">
    <w:name w:val="Основной текст с отступом 2 Знак"/>
    <w:basedOn w:val="a0"/>
    <w:link w:val="24"/>
    <w:uiPriority w:val="99"/>
    <w:rsid w:val="007D6B90"/>
    <w:rPr>
      <w:rFonts w:ascii="Times New Roman" w:eastAsia="Times New Roman" w:hAnsi="Times New Roman" w:cs="Times New Roman"/>
      <w:sz w:val="24"/>
      <w:szCs w:val="24"/>
      <w:lang w:val="ru-RU" w:eastAsia="zh-CN"/>
    </w:rPr>
  </w:style>
  <w:style w:type="numbering" w:customStyle="1" w:styleId="12">
    <w:name w:val="Нет списка1"/>
    <w:next w:val="a2"/>
    <w:uiPriority w:val="99"/>
    <w:semiHidden/>
    <w:unhideWhenUsed/>
    <w:rsid w:val="003717AB"/>
  </w:style>
  <w:style w:type="character" w:customStyle="1" w:styleId="aa">
    <w:name w:val="Без интервала Знак"/>
    <w:link w:val="a9"/>
    <w:uiPriority w:val="1"/>
    <w:rsid w:val="003717AB"/>
    <w:rPr>
      <w:lang w:val="en-US" w:bidi="en-US"/>
    </w:rPr>
  </w:style>
  <w:style w:type="paragraph" w:styleId="26">
    <w:name w:val="Body Text 2"/>
    <w:basedOn w:val="a"/>
    <w:link w:val="27"/>
    <w:rsid w:val="003717AB"/>
    <w:pPr>
      <w:suppressAutoHyphens w:val="0"/>
      <w:ind w:firstLine="720"/>
      <w:jc w:val="both"/>
    </w:pPr>
    <w:rPr>
      <w:szCs w:val="20"/>
      <w:lang w:eastAsia="ru-RU"/>
    </w:rPr>
  </w:style>
  <w:style w:type="character" w:customStyle="1" w:styleId="27">
    <w:name w:val="Основной текст 2 Знак"/>
    <w:basedOn w:val="a0"/>
    <w:link w:val="26"/>
    <w:rsid w:val="003717AB"/>
    <w:rPr>
      <w:rFonts w:ascii="Times New Roman" w:eastAsia="Times New Roman" w:hAnsi="Times New Roman" w:cs="Times New Roman"/>
      <w:sz w:val="24"/>
      <w:szCs w:val="20"/>
      <w:lang w:val="ru-RU" w:eastAsia="ru-RU"/>
    </w:rPr>
  </w:style>
  <w:style w:type="paragraph" w:styleId="afd">
    <w:name w:val="TOC Heading"/>
    <w:basedOn w:val="1"/>
    <w:next w:val="a"/>
    <w:uiPriority w:val="39"/>
    <w:qFormat/>
    <w:rsid w:val="003717AB"/>
    <w:pPr>
      <w:suppressAutoHyphens w:val="0"/>
      <w:spacing w:line="276" w:lineRule="auto"/>
      <w:outlineLvl w:val="9"/>
    </w:pPr>
    <w:rPr>
      <w:rFonts w:ascii="Cambria" w:eastAsia="Times New Roman" w:hAnsi="Cambria" w:cs="Times New Roman"/>
      <w:color w:val="365F91"/>
      <w:lang w:val="uk-UA" w:eastAsia="uk-UA"/>
    </w:rPr>
  </w:style>
  <w:style w:type="paragraph" w:styleId="28">
    <w:name w:val="toc 2"/>
    <w:basedOn w:val="a"/>
    <w:next w:val="a"/>
    <w:autoRedefine/>
    <w:uiPriority w:val="39"/>
    <w:semiHidden/>
    <w:unhideWhenUsed/>
    <w:qFormat/>
    <w:rsid w:val="003717AB"/>
    <w:pPr>
      <w:suppressAutoHyphens w:val="0"/>
      <w:spacing w:after="100" w:line="276" w:lineRule="auto"/>
      <w:ind w:left="220"/>
    </w:pPr>
    <w:rPr>
      <w:rFonts w:ascii="Calibri" w:hAnsi="Calibri"/>
      <w:sz w:val="22"/>
      <w:szCs w:val="22"/>
      <w:lang w:val="uk-UA" w:eastAsia="uk-UA"/>
    </w:rPr>
  </w:style>
  <w:style w:type="paragraph" w:styleId="13">
    <w:name w:val="toc 1"/>
    <w:basedOn w:val="a"/>
    <w:next w:val="a"/>
    <w:autoRedefine/>
    <w:uiPriority w:val="39"/>
    <w:unhideWhenUsed/>
    <w:qFormat/>
    <w:rsid w:val="003717AB"/>
    <w:pPr>
      <w:tabs>
        <w:tab w:val="left" w:pos="0"/>
        <w:tab w:val="left" w:pos="426"/>
        <w:tab w:val="right" w:leader="dot" w:pos="9639"/>
      </w:tabs>
      <w:suppressAutoHyphens w:val="0"/>
      <w:spacing w:after="100" w:line="276" w:lineRule="auto"/>
      <w:ind w:right="425" w:firstLine="426"/>
    </w:pPr>
    <w:rPr>
      <w:b/>
      <w:szCs w:val="22"/>
      <w:lang w:val="uk-UA" w:eastAsia="uk-UA"/>
    </w:rPr>
  </w:style>
  <w:style w:type="paragraph" w:styleId="32">
    <w:name w:val="toc 3"/>
    <w:basedOn w:val="a"/>
    <w:next w:val="a"/>
    <w:autoRedefine/>
    <w:uiPriority w:val="39"/>
    <w:semiHidden/>
    <w:unhideWhenUsed/>
    <w:qFormat/>
    <w:rsid w:val="003717AB"/>
    <w:pPr>
      <w:suppressAutoHyphens w:val="0"/>
      <w:spacing w:after="100" w:line="276" w:lineRule="auto"/>
      <w:ind w:left="440"/>
    </w:pPr>
    <w:rPr>
      <w:rFonts w:ascii="Calibri" w:hAnsi="Calibri"/>
      <w:sz w:val="22"/>
      <w:szCs w:val="22"/>
      <w:lang w:val="uk-UA" w:eastAsia="uk-UA"/>
    </w:rPr>
  </w:style>
  <w:style w:type="character" w:styleId="afe">
    <w:name w:val="Hyperlink"/>
    <w:uiPriority w:val="99"/>
    <w:unhideWhenUsed/>
    <w:rsid w:val="003717AB"/>
    <w:rPr>
      <w:color w:val="0000FF"/>
      <w:u w:val="single"/>
    </w:rPr>
  </w:style>
  <w:style w:type="table" w:styleId="aff">
    <w:name w:val="Table Grid"/>
    <w:basedOn w:val="a1"/>
    <w:uiPriority w:val="59"/>
    <w:rsid w:val="003717AB"/>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3717AB"/>
  </w:style>
  <w:style w:type="paragraph" w:customStyle="1" w:styleId="ABC-paragrahinNotes">
    <w:name w:val="ABC - paragrah in Notes"/>
    <w:rsid w:val="003717AB"/>
    <w:pPr>
      <w:spacing w:after="240" w:line="240" w:lineRule="auto"/>
      <w:jc w:val="both"/>
    </w:pPr>
    <w:rPr>
      <w:rFonts w:ascii="Arial" w:eastAsia="Times New Roman" w:hAnsi="Arial" w:cs="Times New Roman"/>
      <w:sz w:val="20"/>
      <w:szCs w:val="20"/>
      <w:lang w:val="en-GB" w:eastAsia="uk-UA"/>
    </w:rPr>
  </w:style>
  <w:style w:type="character" w:customStyle="1" w:styleId="longtext">
    <w:name w:val="long_text"/>
    <w:rsid w:val="003717AB"/>
  </w:style>
  <w:style w:type="paragraph" w:customStyle="1" w:styleId="ABCFootnote">
    <w:name w:val="ABC Footnote"/>
    <w:basedOn w:val="aff0"/>
    <w:rsid w:val="003717AB"/>
    <w:pPr>
      <w:spacing w:after="0" w:line="240" w:lineRule="auto"/>
    </w:pPr>
    <w:rPr>
      <w:rFonts w:ascii="Arial" w:eastAsia="Times New Roman" w:hAnsi="Arial"/>
      <w:sz w:val="18"/>
      <w:lang w:val="en-GB" w:eastAsia="uk-UA"/>
    </w:rPr>
  </w:style>
  <w:style w:type="paragraph" w:styleId="aff0">
    <w:name w:val="footnote text"/>
    <w:basedOn w:val="a"/>
    <w:link w:val="aff1"/>
    <w:uiPriority w:val="99"/>
    <w:semiHidden/>
    <w:unhideWhenUsed/>
    <w:rsid w:val="003717AB"/>
    <w:pPr>
      <w:suppressAutoHyphens w:val="0"/>
      <w:spacing w:after="200" w:line="276" w:lineRule="auto"/>
    </w:pPr>
    <w:rPr>
      <w:rFonts w:ascii="Calibri" w:eastAsia="Calibri" w:hAnsi="Calibri"/>
      <w:sz w:val="20"/>
      <w:szCs w:val="20"/>
      <w:lang w:val="uk-UA" w:eastAsia="en-US"/>
    </w:rPr>
  </w:style>
  <w:style w:type="character" w:customStyle="1" w:styleId="aff1">
    <w:name w:val="Текст сноски Знак"/>
    <w:basedOn w:val="a0"/>
    <w:link w:val="aff0"/>
    <w:uiPriority w:val="99"/>
    <w:semiHidden/>
    <w:rsid w:val="003717AB"/>
    <w:rPr>
      <w:rFonts w:ascii="Calibri" w:eastAsia="Calibri" w:hAnsi="Calibri" w:cs="Times New Roman"/>
      <w:sz w:val="20"/>
      <w:szCs w:val="20"/>
    </w:rPr>
  </w:style>
  <w:style w:type="table" w:customStyle="1" w:styleId="14">
    <w:name w:val="Сетка таблицы1"/>
    <w:basedOn w:val="a1"/>
    <w:next w:val="aff"/>
    <w:uiPriority w:val="59"/>
    <w:rsid w:val="003717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717AB"/>
  </w:style>
  <w:style w:type="character" w:customStyle="1" w:styleId="translation-chunk">
    <w:name w:val="translation-chunk"/>
    <w:rsid w:val="003717AB"/>
  </w:style>
  <w:style w:type="table" w:customStyle="1" w:styleId="29">
    <w:name w:val="Сетка таблицы2"/>
    <w:basedOn w:val="a1"/>
    <w:next w:val="aff"/>
    <w:uiPriority w:val="59"/>
    <w:rsid w:val="003717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3717AB"/>
    <w:pPr>
      <w:suppressAutoHyphens w:val="0"/>
      <w:spacing w:before="100" w:beforeAutospacing="1" w:after="100" w:afterAutospacing="1"/>
    </w:pPr>
    <w:rPr>
      <w:lang w:eastAsia="ru-RU"/>
    </w:rPr>
  </w:style>
  <w:style w:type="table" w:customStyle="1" w:styleId="33">
    <w:name w:val="Сетка таблицы3"/>
    <w:basedOn w:val="a1"/>
    <w:next w:val="aff"/>
    <w:uiPriority w:val="59"/>
    <w:rsid w:val="003717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uiPriority w:val="99"/>
    <w:rsid w:val="00F71119"/>
    <w:pPr>
      <w:suppressAutoHyphens w:val="0"/>
      <w:ind w:left="720"/>
      <w:contextualSpacing/>
    </w:pPr>
    <w:rPr>
      <w:rFonts w:ascii="Calibri" w:hAnsi="Calibri" w:cs="Calibri"/>
      <w:sz w:val="20"/>
      <w:szCs w:val="20"/>
      <w:lang w:val="uk-UA" w:eastAsia="ru-RU"/>
    </w:rPr>
  </w:style>
  <w:style w:type="numbering" w:customStyle="1" w:styleId="2">
    <w:name w:val="Импортированный стиль 2"/>
    <w:rsid w:val="00404857"/>
    <w:pPr>
      <w:numPr>
        <w:numId w:val="27"/>
      </w:numPr>
    </w:pPr>
  </w:style>
  <w:style w:type="numbering" w:customStyle="1" w:styleId="4">
    <w:name w:val="Импортированный стиль 4"/>
    <w:rsid w:val="00404857"/>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6134-7144-49D3-BD3E-6C82AC95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13426</Words>
  <Characters>76530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chernikka70@gmail.com</cp:lastModifiedBy>
  <cp:revision>2</cp:revision>
  <cp:lastPrinted>2016-04-11T23:25:00Z</cp:lastPrinted>
  <dcterms:created xsi:type="dcterms:W3CDTF">2018-04-27T12:45:00Z</dcterms:created>
  <dcterms:modified xsi:type="dcterms:W3CDTF">2018-04-27T12:45:00Z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466261687</vt:i4>
  </property>
</Properties>
</file>